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B9B1B" w14:textId="77777777" w:rsidR="00E76026" w:rsidRPr="00313899" w:rsidRDefault="00E76026" w:rsidP="00B974D0">
      <w:pPr>
        <w:shd w:val="clear" w:color="auto" w:fill="FFFFFF" w:themeFill="background1"/>
        <w:rPr>
          <w:rFonts w:ascii="Times New Roman" w:hAnsi="Times New Roman" w:cs="Times New Roman"/>
          <w:vertAlign w:val="subscript"/>
        </w:rPr>
      </w:pPr>
    </w:p>
    <w:p w14:paraId="0F4F8741" w14:textId="77777777" w:rsidR="00113FD3" w:rsidRDefault="00113FD3" w:rsidP="00B974D0">
      <w:pPr>
        <w:shd w:val="clear" w:color="auto" w:fill="FFFFFF" w:themeFill="background1"/>
        <w:rPr>
          <w:rFonts w:ascii="Times New Roman" w:hAnsi="Times New Roman" w:cs="Times New Roman"/>
        </w:rPr>
      </w:pPr>
    </w:p>
    <w:p w14:paraId="07A41FAF" w14:textId="77777777" w:rsidR="00B36B1D" w:rsidRDefault="00B36B1D" w:rsidP="00B974D0">
      <w:pPr>
        <w:shd w:val="clear" w:color="auto" w:fill="FFFFFF" w:themeFill="background1"/>
        <w:rPr>
          <w:rFonts w:ascii="Times New Roman" w:hAnsi="Times New Roman" w:cs="Times New Roman"/>
        </w:rPr>
      </w:pPr>
    </w:p>
    <w:p w14:paraId="3E602E67" w14:textId="77777777" w:rsidR="00B36B1D" w:rsidRDefault="00B36B1D" w:rsidP="00B974D0">
      <w:pPr>
        <w:shd w:val="clear" w:color="auto" w:fill="FFFFFF" w:themeFill="background1"/>
        <w:rPr>
          <w:rFonts w:ascii="Times New Roman" w:hAnsi="Times New Roman" w:cs="Times New Roman"/>
        </w:rPr>
      </w:pPr>
    </w:p>
    <w:p w14:paraId="0AE0F73E" w14:textId="77777777" w:rsidR="00B36B1D" w:rsidRDefault="00B36B1D" w:rsidP="00B974D0">
      <w:pPr>
        <w:shd w:val="clear" w:color="auto" w:fill="FFFFFF" w:themeFill="background1"/>
        <w:rPr>
          <w:rFonts w:ascii="Times New Roman" w:hAnsi="Times New Roman" w:cs="Times New Roman"/>
        </w:rPr>
      </w:pPr>
    </w:p>
    <w:p w14:paraId="73DEA4CA" w14:textId="77777777" w:rsidR="00B36B1D" w:rsidRDefault="00B36B1D" w:rsidP="00B974D0">
      <w:pPr>
        <w:shd w:val="clear" w:color="auto" w:fill="FFFFFF" w:themeFill="background1"/>
        <w:rPr>
          <w:rFonts w:ascii="Times New Roman" w:hAnsi="Times New Roman" w:cs="Times New Roman"/>
        </w:rPr>
      </w:pPr>
    </w:p>
    <w:p w14:paraId="3F64BEB0" w14:textId="77777777" w:rsidR="00B36B1D" w:rsidRDefault="00B36B1D" w:rsidP="00B974D0">
      <w:pPr>
        <w:shd w:val="clear" w:color="auto" w:fill="FFFFFF" w:themeFill="background1"/>
        <w:rPr>
          <w:rFonts w:ascii="Times New Roman" w:hAnsi="Times New Roman" w:cs="Times New Roman"/>
        </w:rPr>
      </w:pPr>
    </w:p>
    <w:p w14:paraId="16F42F98" w14:textId="77777777" w:rsidR="00B36B1D" w:rsidRDefault="00B36B1D" w:rsidP="00B974D0">
      <w:pPr>
        <w:shd w:val="clear" w:color="auto" w:fill="FFFFFF" w:themeFill="background1"/>
        <w:rPr>
          <w:rFonts w:ascii="Times New Roman" w:hAnsi="Times New Roman" w:cs="Times New Roman"/>
        </w:rPr>
      </w:pPr>
    </w:p>
    <w:p w14:paraId="30D2A2E7" w14:textId="77777777" w:rsidR="00B36B1D" w:rsidRDefault="00B36B1D" w:rsidP="00B974D0">
      <w:pPr>
        <w:shd w:val="clear" w:color="auto" w:fill="FFFFFF" w:themeFill="background1"/>
        <w:rPr>
          <w:rFonts w:ascii="Times New Roman" w:hAnsi="Times New Roman" w:cs="Times New Roman"/>
        </w:rPr>
      </w:pPr>
    </w:p>
    <w:p w14:paraId="64F24239" w14:textId="2582FFDD" w:rsidR="00B36B1D" w:rsidRPr="006E33B0" w:rsidRDefault="00B36B1D" w:rsidP="009C5DE4">
      <w:pPr>
        <w:shd w:val="clear" w:color="auto" w:fill="FFFFFF" w:themeFill="background1"/>
        <w:jc w:val="center"/>
        <w:outlineLvl w:val="0"/>
        <w:rPr>
          <w:rFonts w:ascii="Times New Roman" w:hAnsi="Times New Roman" w:cs="Times New Roman"/>
          <w:sz w:val="40"/>
          <w:szCs w:val="40"/>
        </w:rPr>
      </w:pPr>
      <w:r w:rsidRPr="006E33B0">
        <w:rPr>
          <w:rFonts w:ascii="Times New Roman" w:hAnsi="Times New Roman" w:cs="Times New Roman"/>
          <w:sz w:val="40"/>
          <w:szCs w:val="40"/>
        </w:rPr>
        <w:t>Complete College Georgia</w:t>
      </w:r>
    </w:p>
    <w:p w14:paraId="1BC032BD" w14:textId="7FF30C67" w:rsidR="00B36B1D" w:rsidRPr="006E33B0" w:rsidRDefault="00BA6B41" w:rsidP="009C5DE4">
      <w:pPr>
        <w:shd w:val="clear" w:color="auto" w:fill="FFFFFF" w:themeFill="background1"/>
        <w:jc w:val="center"/>
        <w:outlineLvl w:val="0"/>
        <w:rPr>
          <w:rFonts w:ascii="Times New Roman" w:hAnsi="Times New Roman" w:cs="Times New Roman"/>
          <w:sz w:val="40"/>
          <w:szCs w:val="40"/>
        </w:rPr>
      </w:pPr>
      <w:r>
        <w:rPr>
          <w:rFonts w:ascii="Times New Roman" w:hAnsi="Times New Roman" w:cs="Times New Roman"/>
          <w:sz w:val="40"/>
          <w:szCs w:val="40"/>
        </w:rPr>
        <w:t>Update Report</w:t>
      </w:r>
      <w:r w:rsidR="00B86C9D">
        <w:rPr>
          <w:rFonts w:ascii="Times New Roman" w:hAnsi="Times New Roman" w:cs="Times New Roman"/>
          <w:sz w:val="40"/>
          <w:szCs w:val="40"/>
        </w:rPr>
        <w:t>,</w:t>
      </w:r>
      <w:r w:rsidR="006C30B0">
        <w:rPr>
          <w:rFonts w:ascii="Times New Roman" w:hAnsi="Times New Roman" w:cs="Times New Roman"/>
          <w:sz w:val="40"/>
          <w:szCs w:val="40"/>
        </w:rPr>
        <w:t xml:space="preserve"> FY 2017</w:t>
      </w:r>
      <w:r>
        <w:rPr>
          <w:rFonts w:ascii="Times New Roman" w:hAnsi="Times New Roman" w:cs="Times New Roman"/>
          <w:sz w:val="40"/>
          <w:szCs w:val="40"/>
        </w:rPr>
        <w:t xml:space="preserve"> </w:t>
      </w:r>
    </w:p>
    <w:p w14:paraId="2D9E8998" w14:textId="77777777" w:rsidR="006E33B0" w:rsidRDefault="006E33B0" w:rsidP="00B974D0">
      <w:pPr>
        <w:shd w:val="clear" w:color="auto" w:fill="FFFFFF" w:themeFill="background1"/>
        <w:jc w:val="center"/>
        <w:rPr>
          <w:rFonts w:ascii="Times New Roman" w:hAnsi="Times New Roman" w:cs="Times New Roman"/>
        </w:rPr>
      </w:pPr>
    </w:p>
    <w:p w14:paraId="0BC420EB" w14:textId="77777777" w:rsidR="006E33B0" w:rsidRDefault="006E33B0" w:rsidP="00B974D0">
      <w:pPr>
        <w:shd w:val="clear" w:color="auto" w:fill="FFFFFF" w:themeFill="background1"/>
        <w:jc w:val="center"/>
        <w:rPr>
          <w:rFonts w:ascii="Times New Roman" w:hAnsi="Times New Roman" w:cs="Times New Roman"/>
        </w:rPr>
      </w:pPr>
    </w:p>
    <w:p w14:paraId="0E673282" w14:textId="77777777" w:rsidR="006E33B0" w:rsidRDefault="006E33B0" w:rsidP="00B974D0">
      <w:pPr>
        <w:shd w:val="clear" w:color="auto" w:fill="FFFFFF" w:themeFill="background1"/>
        <w:jc w:val="center"/>
        <w:rPr>
          <w:rFonts w:ascii="Times New Roman" w:hAnsi="Times New Roman" w:cs="Times New Roman"/>
        </w:rPr>
      </w:pPr>
    </w:p>
    <w:p w14:paraId="36114A8F" w14:textId="77777777" w:rsidR="006E33B0" w:rsidRDefault="006E33B0" w:rsidP="00B974D0">
      <w:pPr>
        <w:shd w:val="clear" w:color="auto" w:fill="FFFFFF" w:themeFill="background1"/>
        <w:jc w:val="center"/>
        <w:rPr>
          <w:rFonts w:ascii="Times New Roman" w:hAnsi="Times New Roman" w:cs="Times New Roman"/>
        </w:rPr>
      </w:pPr>
    </w:p>
    <w:p w14:paraId="50662E95" w14:textId="1435F77B" w:rsidR="006E33B0" w:rsidRDefault="006E33B0" w:rsidP="009C5DE4">
      <w:pPr>
        <w:shd w:val="clear" w:color="auto" w:fill="FFFFFF" w:themeFill="background1"/>
        <w:jc w:val="center"/>
        <w:outlineLvl w:val="0"/>
        <w:rPr>
          <w:rFonts w:ascii="Times New Roman" w:hAnsi="Times New Roman" w:cs="Times New Roman"/>
        </w:rPr>
      </w:pPr>
      <w:r>
        <w:rPr>
          <w:rFonts w:ascii="Times New Roman" w:hAnsi="Times New Roman" w:cs="Times New Roman"/>
        </w:rPr>
        <w:t>Submitted by</w:t>
      </w:r>
    </w:p>
    <w:p w14:paraId="7B15F3C6" w14:textId="77777777" w:rsidR="006E33B0" w:rsidRPr="006E33B0" w:rsidRDefault="006E33B0" w:rsidP="00B974D0">
      <w:pPr>
        <w:shd w:val="clear" w:color="auto" w:fill="FFFFFF" w:themeFill="background1"/>
        <w:jc w:val="center"/>
        <w:rPr>
          <w:rFonts w:ascii="Times New Roman" w:hAnsi="Times New Roman" w:cs="Times New Roman"/>
          <w:sz w:val="32"/>
          <w:szCs w:val="32"/>
        </w:rPr>
      </w:pPr>
    </w:p>
    <w:p w14:paraId="7563E998" w14:textId="15056A1A" w:rsidR="006E33B0" w:rsidRPr="006E33B0" w:rsidRDefault="006E33B0" w:rsidP="009C5DE4">
      <w:pPr>
        <w:shd w:val="clear" w:color="auto" w:fill="FFFFFF" w:themeFill="background1"/>
        <w:jc w:val="center"/>
        <w:outlineLvl w:val="0"/>
        <w:rPr>
          <w:rFonts w:ascii="Times New Roman" w:hAnsi="Times New Roman" w:cs="Times New Roman"/>
          <w:sz w:val="32"/>
          <w:szCs w:val="32"/>
        </w:rPr>
      </w:pPr>
      <w:r w:rsidRPr="006E33B0">
        <w:rPr>
          <w:rFonts w:ascii="Times New Roman" w:hAnsi="Times New Roman" w:cs="Times New Roman"/>
          <w:sz w:val="32"/>
          <w:szCs w:val="32"/>
        </w:rPr>
        <w:t>Atlanta Metropolitan State College</w:t>
      </w:r>
    </w:p>
    <w:p w14:paraId="28096AC4" w14:textId="77777777" w:rsidR="006E33B0" w:rsidRDefault="006E33B0" w:rsidP="00B974D0">
      <w:pPr>
        <w:shd w:val="clear" w:color="auto" w:fill="FFFFFF" w:themeFill="background1"/>
        <w:jc w:val="center"/>
        <w:rPr>
          <w:rFonts w:ascii="Times New Roman" w:hAnsi="Times New Roman" w:cs="Times New Roman"/>
        </w:rPr>
      </w:pPr>
    </w:p>
    <w:p w14:paraId="0C519AE7" w14:textId="77777777" w:rsidR="006E33B0" w:rsidRDefault="006E33B0" w:rsidP="00B974D0">
      <w:pPr>
        <w:shd w:val="clear" w:color="auto" w:fill="FFFFFF" w:themeFill="background1"/>
        <w:jc w:val="center"/>
        <w:rPr>
          <w:rFonts w:ascii="Times New Roman" w:hAnsi="Times New Roman" w:cs="Times New Roman"/>
        </w:rPr>
      </w:pPr>
    </w:p>
    <w:p w14:paraId="31B03E26" w14:textId="151513D5" w:rsidR="006E33B0" w:rsidRDefault="006E33B0" w:rsidP="00B974D0">
      <w:pPr>
        <w:shd w:val="clear" w:color="auto" w:fill="FFFFFF" w:themeFill="background1"/>
        <w:jc w:val="center"/>
        <w:rPr>
          <w:rFonts w:ascii="Times New Roman" w:hAnsi="Times New Roman" w:cs="Times New Roman"/>
        </w:rPr>
      </w:pPr>
      <w:r>
        <w:rPr>
          <w:rFonts w:ascii="Times New Roman" w:hAnsi="Times New Roman" w:cs="Times New Roman"/>
          <w:noProof/>
        </w:rPr>
        <w:drawing>
          <wp:inline distT="0" distB="0" distL="0" distR="0" wp14:anchorId="64A68661" wp14:editId="76B83A0E">
            <wp:extent cx="1091184" cy="13716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SC logo.png"/>
                    <pic:cNvPicPr/>
                  </pic:nvPicPr>
                  <pic:blipFill>
                    <a:blip r:embed="rId8">
                      <a:extLst>
                        <a:ext uri="{28A0092B-C50C-407E-A947-70E740481C1C}">
                          <a14:useLocalDpi xmlns:a14="http://schemas.microsoft.com/office/drawing/2010/main" val="0"/>
                        </a:ext>
                      </a:extLst>
                    </a:blip>
                    <a:stretch>
                      <a:fillRect/>
                    </a:stretch>
                  </pic:blipFill>
                  <pic:spPr>
                    <a:xfrm>
                      <a:off x="0" y="0"/>
                      <a:ext cx="1091184" cy="1371600"/>
                    </a:xfrm>
                    <a:prstGeom prst="rect">
                      <a:avLst/>
                    </a:prstGeom>
                  </pic:spPr>
                </pic:pic>
              </a:graphicData>
            </a:graphic>
          </wp:inline>
        </w:drawing>
      </w:r>
    </w:p>
    <w:p w14:paraId="1498224D" w14:textId="77777777" w:rsidR="006E33B0" w:rsidRDefault="006E33B0" w:rsidP="00B974D0">
      <w:pPr>
        <w:shd w:val="clear" w:color="auto" w:fill="FFFFFF" w:themeFill="background1"/>
        <w:jc w:val="center"/>
        <w:rPr>
          <w:rFonts w:ascii="Times New Roman" w:hAnsi="Times New Roman" w:cs="Times New Roman"/>
        </w:rPr>
      </w:pPr>
    </w:p>
    <w:p w14:paraId="2B689726" w14:textId="77777777" w:rsidR="006E33B0" w:rsidRDefault="006E33B0" w:rsidP="00B974D0">
      <w:pPr>
        <w:shd w:val="clear" w:color="auto" w:fill="FFFFFF" w:themeFill="background1"/>
        <w:jc w:val="center"/>
        <w:rPr>
          <w:rFonts w:ascii="Times New Roman" w:hAnsi="Times New Roman" w:cs="Times New Roman"/>
        </w:rPr>
      </w:pPr>
    </w:p>
    <w:p w14:paraId="7B03DB1B" w14:textId="07B21BF3" w:rsidR="006E33B0" w:rsidRDefault="00BA6B41" w:rsidP="00B974D0">
      <w:pPr>
        <w:shd w:val="clear" w:color="auto" w:fill="FFFFFF" w:themeFill="background1"/>
        <w:jc w:val="center"/>
        <w:rPr>
          <w:rFonts w:ascii="Times New Roman" w:hAnsi="Times New Roman" w:cs="Times New Roman"/>
        </w:rPr>
      </w:pPr>
      <w:r>
        <w:rPr>
          <w:rFonts w:ascii="Times New Roman" w:hAnsi="Times New Roman" w:cs="Times New Roman"/>
        </w:rPr>
        <w:t>to</w:t>
      </w:r>
      <w:r w:rsidR="006E33B0">
        <w:rPr>
          <w:rFonts w:ascii="Times New Roman" w:hAnsi="Times New Roman" w:cs="Times New Roman"/>
        </w:rPr>
        <w:t xml:space="preserve"> the</w:t>
      </w:r>
    </w:p>
    <w:p w14:paraId="4A834202" w14:textId="77777777" w:rsidR="006E33B0" w:rsidRDefault="006E33B0" w:rsidP="00B974D0">
      <w:pPr>
        <w:shd w:val="clear" w:color="auto" w:fill="FFFFFF" w:themeFill="background1"/>
        <w:jc w:val="center"/>
        <w:rPr>
          <w:rFonts w:ascii="Times New Roman" w:hAnsi="Times New Roman" w:cs="Times New Roman"/>
        </w:rPr>
      </w:pPr>
    </w:p>
    <w:p w14:paraId="39CEE91E" w14:textId="585EF793" w:rsidR="00B36B1D" w:rsidRPr="00AA667D" w:rsidRDefault="006E33B0" w:rsidP="009C5DE4">
      <w:pPr>
        <w:shd w:val="clear" w:color="auto" w:fill="FFFFFF" w:themeFill="background1"/>
        <w:jc w:val="center"/>
        <w:outlineLvl w:val="0"/>
        <w:rPr>
          <w:rFonts w:ascii="Times New Roman" w:hAnsi="Times New Roman" w:cs="Times New Roman"/>
          <w:sz w:val="32"/>
          <w:szCs w:val="32"/>
        </w:rPr>
      </w:pPr>
      <w:r>
        <w:rPr>
          <w:rFonts w:ascii="Times New Roman" w:hAnsi="Times New Roman" w:cs="Times New Roman"/>
        </w:rPr>
        <w:t xml:space="preserve"> </w:t>
      </w:r>
      <w:r w:rsidRPr="006E33B0">
        <w:rPr>
          <w:rFonts w:ascii="Times New Roman" w:hAnsi="Times New Roman" w:cs="Times New Roman"/>
          <w:sz w:val="32"/>
          <w:szCs w:val="32"/>
        </w:rPr>
        <w:t>Board of Regents of the University System of Georgia</w:t>
      </w:r>
    </w:p>
    <w:p w14:paraId="51D1EDC7" w14:textId="77777777" w:rsidR="00B36B1D" w:rsidRDefault="00B36B1D" w:rsidP="00B974D0">
      <w:pPr>
        <w:shd w:val="clear" w:color="auto" w:fill="FFFFFF" w:themeFill="background1"/>
        <w:rPr>
          <w:rFonts w:ascii="Times New Roman" w:hAnsi="Times New Roman" w:cs="Times New Roman"/>
        </w:rPr>
      </w:pPr>
    </w:p>
    <w:p w14:paraId="1C287191" w14:textId="77777777" w:rsidR="00AA667D" w:rsidRDefault="00AA667D" w:rsidP="00B974D0">
      <w:pPr>
        <w:pStyle w:val="Default"/>
        <w:shd w:val="clear" w:color="auto" w:fill="FFFFFF" w:themeFill="background1"/>
        <w:spacing w:line="480" w:lineRule="auto"/>
        <w:ind w:firstLine="720"/>
        <w:jc w:val="both"/>
        <w:rPr>
          <w:color w:val="auto"/>
          <w:shd w:val="clear" w:color="auto" w:fill="FFFFFF"/>
        </w:rPr>
      </w:pPr>
    </w:p>
    <w:p w14:paraId="56998929" w14:textId="455310B7" w:rsidR="009C5DE4" w:rsidRDefault="009C5DE4">
      <w:pPr>
        <w:rPr>
          <w:rFonts w:ascii="Times New Roman" w:eastAsiaTheme="minorHAnsi" w:hAnsi="Times New Roman" w:cs="Times New Roman"/>
          <w:shd w:val="clear" w:color="auto" w:fill="FFFFFF"/>
        </w:rPr>
      </w:pPr>
      <w:r>
        <w:rPr>
          <w:shd w:val="clear" w:color="auto" w:fill="FFFFFF"/>
        </w:rPr>
        <w:br w:type="page"/>
      </w:r>
    </w:p>
    <w:p w14:paraId="71FB1472" w14:textId="1C20F964" w:rsidR="0073393D" w:rsidRDefault="005C5A13" w:rsidP="009C5DE4">
      <w:pPr>
        <w:pStyle w:val="Default"/>
        <w:keepNext/>
        <w:keepLines/>
        <w:shd w:val="clear" w:color="auto" w:fill="FFFFFF" w:themeFill="background1"/>
        <w:spacing w:line="276" w:lineRule="auto"/>
        <w:outlineLvl w:val="0"/>
        <w:rPr>
          <w:b/>
          <w:color w:val="auto"/>
          <w:sz w:val="28"/>
          <w:szCs w:val="28"/>
          <w:shd w:val="clear" w:color="auto" w:fill="FFFFFF"/>
        </w:rPr>
      </w:pPr>
      <w:r w:rsidRPr="005C5A13">
        <w:rPr>
          <w:b/>
          <w:color w:val="auto"/>
          <w:sz w:val="28"/>
          <w:szCs w:val="28"/>
          <w:shd w:val="clear" w:color="auto" w:fill="FFFFFF"/>
        </w:rPr>
        <w:lastRenderedPageBreak/>
        <w:t>Institutional Mission and Student Body Profile</w:t>
      </w:r>
    </w:p>
    <w:p w14:paraId="380C23C1" w14:textId="77777777" w:rsidR="009C6D94" w:rsidRPr="009C6D94" w:rsidRDefault="009C6D94" w:rsidP="009C6D94">
      <w:pPr>
        <w:pStyle w:val="Default"/>
        <w:keepNext/>
        <w:keepLines/>
        <w:shd w:val="clear" w:color="auto" w:fill="FFFFFF" w:themeFill="background1"/>
        <w:spacing w:line="276" w:lineRule="auto"/>
        <w:rPr>
          <w:b/>
          <w:color w:val="auto"/>
          <w:sz w:val="28"/>
          <w:szCs w:val="28"/>
          <w:shd w:val="clear" w:color="auto" w:fill="FFFFFF"/>
        </w:rPr>
      </w:pPr>
    </w:p>
    <w:p w14:paraId="0057F5BB" w14:textId="43F3E6A2" w:rsidR="00A30FD2" w:rsidRPr="00AB74CC" w:rsidRDefault="00AA667D" w:rsidP="00687536">
      <w:pPr>
        <w:pStyle w:val="Default"/>
        <w:keepNext/>
        <w:keepLines/>
        <w:shd w:val="clear" w:color="auto" w:fill="FFFFFF" w:themeFill="background1"/>
        <w:spacing w:line="276" w:lineRule="auto"/>
        <w:jc w:val="both"/>
        <w:rPr>
          <w:color w:val="auto"/>
          <w:sz w:val="22"/>
          <w:szCs w:val="22"/>
          <w:shd w:val="clear" w:color="auto" w:fill="FFFFFF"/>
        </w:rPr>
      </w:pPr>
      <w:r w:rsidRPr="00AB74CC">
        <w:rPr>
          <w:color w:val="auto"/>
          <w:sz w:val="22"/>
          <w:szCs w:val="22"/>
          <w:shd w:val="clear" w:color="auto" w:fill="FFFFFF"/>
        </w:rPr>
        <w:t>Founded in 1974, Atlanta Metropolitan State College (AMSC</w:t>
      </w:r>
      <w:r w:rsidR="00FF6735">
        <w:rPr>
          <w:color w:val="auto"/>
          <w:sz w:val="22"/>
          <w:szCs w:val="22"/>
          <w:shd w:val="clear" w:color="auto" w:fill="FFFFFF"/>
        </w:rPr>
        <w:t xml:space="preserve"> or Atlanta Metro</w:t>
      </w:r>
      <w:r w:rsidRPr="00AB74CC">
        <w:rPr>
          <w:color w:val="auto"/>
          <w:sz w:val="22"/>
          <w:szCs w:val="22"/>
          <w:shd w:val="clear" w:color="auto" w:fill="FFFFFF"/>
        </w:rPr>
        <w:t>) is a public</w:t>
      </w:r>
      <w:r w:rsidR="00E17170">
        <w:rPr>
          <w:color w:val="auto"/>
          <w:sz w:val="22"/>
          <w:szCs w:val="22"/>
          <w:shd w:val="clear" w:color="auto" w:fill="FFFFFF"/>
        </w:rPr>
        <w:t xml:space="preserve"> access institution</w:t>
      </w:r>
      <w:r w:rsidRPr="00AB74CC">
        <w:rPr>
          <w:color w:val="auto"/>
          <w:sz w:val="22"/>
          <w:szCs w:val="22"/>
          <w:shd w:val="clear" w:color="auto" w:fill="FFFFFF"/>
        </w:rPr>
        <w:t xml:space="preserve"> governed by the Board of Regents of the University System of Georgia (USG)</w:t>
      </w:r>
      <w:r w:rsidR="004F0A27" w:rsidRPr="00AB74CC">
        <w:rPr>
          <w:color w:val="auto"/>
          <w:sz w:val="22"/>
          <w:szCs w:val="22"/>
          <w:shd w:val="clear" w:color="auto" w:fill="FFFFFF"/>
        </w:rPr>
        <w:t>. The mission of AMSC is to provide high quality, low-cost access to post-secondary education, primarily to residents in the metro-Atlanta region.  An essential component of the College’s mission is to provide a holistic experience fo</w:t>
      </w:r>
      <w:r w:rsidR="00291FB7">
        <w:rPr>
          <w:color w:val="auto"/>
          <w:sz w:val="22"/>
          <w:szCs w:val="22"/>
          <w:shd w:val="clear" w:color="auto" w:fill="FFFFFF"/>
        </w:rPr>
        <w:t>r students that</w:t>
      </w:r>
      <w:r w:rsidR="00FF3CCE" w:rsidRPr="00AB74CC">
        <w:rPr>
          <w:color w:val="auto"/>
          <w:sz w:val="22"/>
          <w:szCs w:val="22"/>
          <w:shd w:val="clear" w:color="auto" w:fill="FFFFFF"/>
        </w:rPr>
        <w:t xml:space="preserve"> integrates</w:t>
      </w:r>
      <w:r w:rsidR="004F0A27" w:rsidRPr="00AB74CC">
        <w:rPr>
          <w:color w:val="auto"/>
          <w:sz w:val="22"/>
          <w:szCs w:val="22"/>
          <w:shd w:val="clear" w:color="auto" w:fill="FFFFFF"/>
        </w:rPr>
        <w:t xml:space="preserve"> academics</w:t>
      </w:r>
      <w:r w:rsidR="009B3CB7">
        <w:rPr>
          <w:color w:val="auto"/>
          <w:sz w:val="22"/>
          <w:szCs w:val="22"/>
          <w:shd w:val="clear" w:color="auto" w:fill="FFFFFF"/>
        </w:rPr>
        <w:t xml:space="preserve"> and</w:t>
      </w:r>
      <w:r w:rsidR="00FF3CCE" w:rsidRPr="00AB74CC">
        <w:rPr>
          <w:color w:val="auto"/>
          <w:sz w:val="22"/>
          <w:szCs w:val="22"/>
          <w:shd w:val="clear" w:color="auto" w:fill="FFFFFF"/>
        </w:rPr>
        <w:t xml:space="preserve"> a range of co-curricular activities, including </w:t>
      </w:r>
      <w:r w:rsidR="004F0A27" w:rsidRPr="00AB74CC">
        <w:rPr>
          <w:color w:val="auto"/>
          <w:sz w:val="22"/>
          <w:szCs w:val="22"/>
          <w:shd w:val="clear" w:color="auto" w:fill="FFFFFF"/>
        </w:rPr>
        <w:t xml:space="preserve">experiential learning, </w:t>
      </w:r>
      <w:r w:rsidR="00FF3CCE" w:rsidRPr="00AB74CC">
        <w:rPr>
          <w:color w:val="auto"/>
          <w:sz w:val="22"/>
          <w:szCs w:val="22"/>
          <w:shd w:val="clear" w:color="auto" w:fill="FFFFFF"/>
        </w:rPr>
        <w:t>life-skills</w:t>
      </w:r>
      <w:r w:rsidR="009B3CB7">
        <w:rPr>
          <w:color w:val="auto"/>
          <w:sz w:val="22"/>
          <w:szCs w:val="22"/>
          <w:shd w:val="clear" w:color="auto" w:fill="FFFFFF"/>
        </w:rPr>
        <w:t xml:space="preserve"> training,</w:t>
      </w:r>
      <w:r w:rsidR="00FF3CCE" w:rsidRPr="00AB74CC">
        <w:rPr>
          <w:color w:val="auto"/>
          <w:sz w:val="22"/>
          <w:szCs w:val="22"/>
          <w:shd w:val="clear" w:color="auto" w:fill="FFFFFF"/>
        </w:rPr>
        <w:t xml:space="preserve"> </w:t>
      </w:r>
      <w:r w:rsidR="009B3CB7">
        <w:rPr>
          <w:color w:val="auto"/>
          <w:sz w:val="22"/>
          <w:szCs w:val="22"/>
          <w:shd w:val="clear" w:color="auto" w:fill="FFFFFF"/>
        </w:rPr>
        <w:t xml:space="preserve">leadership coaching, </w:t>
      </w:r>
      <w:r w:rsidR="00FF3CCE" w:rsidRPr="00AB74CC">
        <w:rPr>
          <w:color w:val="auto"/>
          <w:sz w:val="22"/>
          <w:szCs w:val="22"/>
          <w:shd w:val="clear" w:color="auto" w:fill="FFFFFF"/>
        </w:rPr>
        <w:t>and civic/community services.</w:t>
      </w:r>
      <w:r w:rsidR="004F0A27" w:rsidRPr="00AB74CC">
        <w:rPr>
          <w:color w:val="auto"/>
          <w:sz w:val="22"/>
          <w:szCs w:val="22"/>
          <w:shd w:val="clear" w:color="auto" w:fill="FFFFFF"/>
        </w:rPr>
        <w:t xml:space="preserve"> </w:t>
      </w:r>
      <w:r w:rsidR="009B3CB7">
        <w:rPr>
          <w:color w:val="auto"/>
          <w:sz w:val="22"/>
          <w:szCs w:val="22"/>
          <w:shd w:val="clear" w:color="auto" w:fill="FFFFFF"/>
        </w:rPr>
        <w:t>The core target of the College’s outreach</w:t>
      </w:r>
      <w:r w:rsidR="009E775B" w:rsidRPr="00AB74CC">
        <w:rPr>
          <w:color w:val="auto"/>
          <w:sz w:val="22"/>
          <w:szCs w:val="22"/>
          <w:shd w:val="clear" w:color="auto" w:fill="FFFFFF"/>
        </w:rPr>
        <w:t xml:space="preserve"> is to </w:t>
      </w:r>
      <w:r w:rsidR="00AD7195">
        <w:rPr>
          <w:color w:val="auto"/>
          <w:sz w:val="22"/>
          <w:szCs w:val="22"/>
          <w:shd w:val="clear" w:color="auto" w:fill="FFFFFF"/>
        </w:rPr>
        <w:t xml:space="preserve">provide post-secondary </w:t>
      </w:r>
      <w:r w:rsidR="00180A1C">
        <w:rPr>
          <w:color w:val="auto"/>
          <w:sz w:val="22"/>
          <w:szCs w:val="22"/>
          <w:shd w:val="clear" w:color="auto" w:fill="FFFFFF"/>
        </w:rPr>
        <w:t xml:space="preserve">education </w:t>
      </w:r>
      <w:r w:rsidR="00AD7195">
        <w:rPr>
          <w:color w:val="auto"/>
          <w:sz w:val="22"/>
          <w:szCs w:val="22"/>
          <w:shd w:val="clear" w:color="auto" w:fill="FFFFFF"/>
        </w:rPr>
        <w:t>access to</w:t>
      </w:r>
      <w:r w:rsidR="009E775B" w:rsidRPr="00AB74CC">
        <w:rPr>
          <w:color w:val="auto"/>
          <w:sz w:val="22"/>
          <w:szCs w:val="22"/>
          <w:shd w:val="clear" w:color="auto" w:fill="FFFFFF"/>
        </w:rPr>
        <w:t xml:space="preserve"> a broad demographi</w:t>
      </w:r>
      <w:r w:rsidR="00E43903">
        <w:rPr>
          <w:color w:val="auto"/>
          <w:sz w:val="22"/>
          <w:szCs w:val="22"/>
          <w:shd w:val="clear" w:color="auto" w:fill="FFFFFF"/>
        </w:rPr>
        <w:t>c of underrepresented, underse</w:t>
      </w:r>
      <w:r w:rsidR="00D414ED">
        <w:rPr>
          <w:color w:val="auto"/>
          <w:sz w:val="22"/>
          <w:szCs w:val="22"/>
          <w:shd w:val="clear" w:color="auto" w:fill="FFFFFF"/>
        </w:rPr>
        <w:t>rved</w:t>
      </w:r>
      <w:r w:rsidR="009E775B" w:rsidRPr="00AB74CC">
        <w:rPr>
          <w:color w:val="auto"/>
          <w:sz w:val="22"/>
          <w:szCs w:val="22"/>
          <w:shd w:val="clear" w:color="auto" w:fill="FFFFFF"/>
        </w:rPr>
        <w:t xml:space="preserve"> </w:t>
      </w:r>
      <w:r w:rsidR="00AD7195">
        <w:rPr>
          <w:color w:val="auto"/>
          <w:sz w:val="22"/>
          <w:szCs w:val="22"/>
          <w:shd w:val="clear" w:color="auto" w:fill="FFFFFF"/>
        </w:rPr>
        <w:t xml:space="preserve">students that will </w:t>
      </w:r>
      <w:r w:rsidR="004B23AC">
        <w:rPr>
          <w:color w:val="auto"/>
          <w:sz w:val="22"/>
          <w:szCs w:val="22"/>
          <w:shd w:val="clear" w:color="auto" w:fill="FFFFFF"/>
        </w:rPr>
        <w:t xml:space="preserve">positively </w:t>
      </w:r>
      <w:r w:rsidR="00AD7195">
        <w:rPr>
          <w:color w:val="auto"/>
          <w:sz w:val="22"/>
          <w:szCs w:val="22"/>
          <w:shd w:val="clear" w:color="auto" w:fill="FFFFFF"/>
        </w:rPr>
        <w:t xml:space="preserve">transform their economic, social, and civic standing in </w:t>
      </w:r>
      <w:r w:rsidR="009E775B" w:rsidRPr="00AB74CC">
        <w:rPr>
          <w:color w:val="auto"/>
          <w:sz w:val="22"/>
          <w:szCs w:val="22"/>
          <w:shd w:val="clear" w:color="auto" w:fill="FFFFFF"/>
        </w:rPr>
        <w:t xml:space="preserve">society. </w:t>
      </w:r>
    </w:p>
    <w:p w14:paraId="461B4193" w14:textId="497AB504" w:rsidR="00FF3CCE" w:rsidRPr="00AB74CC" w:rsidRDefault="009E775B" w:rsidP="00B974D0">
      <w:pPr>
        <w:pStyle w:val="Default"/>
        <w:keepNext/>
        <w:keepLines/>
        <w:shd w:val="clear" w:color="auto" w:fill="FFFFFF" w:themeFill="background1"/>
        <w:spacing w:line="276" w:lineRule="auto"/>
        <w:ind w:firstLine="720"/>
        <w:jc w:val="both"/>
        <w:rPr>
          <w:color w:val="auto"/>
          <w:sz w:val="22"/>
          <w:szCs w:val="22"/>
          <w:shd w:val="clear" w:color="auto" w:fill="FFFFFF"/>
        </w:rPr>
      </w:pPr>
      <w:r w:rsidRPr="00AB74CC">
        <w:rPr>
          <w:color w:val="auto"/>
          <w:sz w:val="22"/>
          <w:szCs w:val="22"/>
          <w:shd w:val="clear" w:color="auto" w:fill="FFFFFF"/>
        </w:rPr>
        <w:t xml:space="preserve">  </w:t>
      </w:r>
    </w:p>
    <w:p w14:paraId="0F4BC784" w14:textId="5F09CBC7" w:rsidR="0002328D" w:rsidRDefault="004B23AC" w:rsidP="00687536">
      <w:pPr>
        <w:pStyle w:val="Default"/>
        <w:keepNext/>
        <w:keepLines/>
        <w:shd w:val="clear" w:color="auto" w:fill="FFFFFF" w:themeFill="background1"/>
        <w:spacing w:line="276" w:lineRule="auto"/>
        <w:jc w:val="both"/>
        <w:rPr>
          <w:iCs/>
          <w:color w:val="auto"/>
          <w:sz w:val="22"/>
          <w:szCs w:val="22"/>
        </w:rPr>
      </w:pPr>
      <w:r>
        <w:rPr>
          <w:iCs/>
          <w:color w:val="auto"/>
          <w:sz w:val="22"/>
          <w:szCs w:val="22"/>
        </w:rPr>
        <w:t>AMSC has a diverse</w:t>
      </w:r>
      <w:r w:rsidR="0011679F">
        <w:rPr>
          <w:iCs/>
          <w:color w:val="auto"/>
          <w:sz w:val="22"/>
          <w:szCs w:val="22"/>
        </w:rPr>
        <w:t>,</w:t>
      </w:r>
      <w:r>
        <w:rPr>
          <w:iCs/>
          <w:color w:val="auto"/>
          <w:sz w:val="22"/>
          <w:szCs w:val="22"/>
        </w:rPr>
        <w:t xml:space="preserve"> </w:t>
      </w:r>
      <w:r w:rsidR="00751A1E">
        <w:rPr>
          <w:iCs/>
          <w:color w:val="auto"/>
          <w:sz w:val="22"/>
          <w:szCs w:val="22"/>
        </w:rPr>
        <w:t>2,800</w:t>
      </w:r>
      <w:r w:rsidR="009B3CB7">
        <w:rPr>
          <w:iCs/>
          <w:color w:val="auto"/>
          <w:sz w:val="22"/>
          <w:szCs w:val="22"/>
        </w:rPr>
        <w:t xml:space="preserve"> student population, composed of a</w:t>
      </w:r>
      <w:r>
        <w:rPr>
          <w:iCs/>
          <w:color w:val="auto"/>
          <w:sz w:val="22"/>
          <w:szCs w:val="22"/>
        </w:rPr>
        <w:t xml:space="preserve"> 3:2</w:t>
      </w:r>
      <w:r w:rsidR="009B3CB7">
        <w:rPr>
          <w:iCs/>
          <w:color w:val="auto"/>
          <w:sz w:val="22"/>
          <w:szCs w:val="22"/>
        </w:rPr>
        <w:t xml:space="preserve"> ratio</w:t>
      </w:r>
      <w:r>
        <w:rPr>
          <w:iCs/>
          <w:color w:val="auto"/>
          <w:sz w:val="22"/>
          <w:szCs w:val="22"/>
        </w:rPr>
        <w:t xml:space="preserve"> </w:t>
      </w:r>
      <w:r w:rsidR="009B3CB7">
        <w:rPr>
          <w:iCs/>
          <w:color w:val="auto"/>
          <w:sz w:val="22"/>
          <w:szCs w:val="22"/>
        </w:rPr>
        <w:t xml:space="preserve">of </w:t>
      </w:r>
      <w:r w:rsidR="00D44FD7" w:rsidRPr="00AB74CC">
        <w:rPr>
          <w:iCs/>
          <w:color w:val="auto"/>
          <w:sz w:val="22"/>
          <w:szCs w:val="22"/>
        </w:rPr>
        <w:t>traditional/non-traditional</w:t>
      </w:r>
      <w:r w:rsidR="009B3CB7">
        <w:rPr>
          <w:iCs/>
          <w:color w:val="auto"/>
          <w:sz w:val="22"/>
          <w:szCs w:val="22"/>
        </w:rPr>
        <w:t xml:space="preserve"> students</w:t>
      </w:r>
      <w:r>
        <w:rPr>
          <w:iCs/>
          <w:color w:val="auto"/>
          <w:sz w:val="22"/>
          <w:szCs w:val="22"/>
        </w:rPr>
        <w:t>; 40%</w:t>
      </w:r>
      <w:r w:rsidR="00D44FD7" w:rsidRPr="00AB74CC">
        <w:rPr>
          <w:iCs/>
          <w:color w:val="auto"/>
          <w:sz w:val="22"/>
          <w:szCs w:val="22"/>
        </w:rPr>
        <w:t xml:space="preserve"> </w:t>
      </w:r>
      <w:r w:rsidR="002421AA" w:rsidRPr="00AB74CC">
        <w:rPr>
          <w:iCs/>
          <w:color w:val="auto"/>
          <w:sz w:val="22"/>
          <w:szCs w:val="22"/>
        </w:rPr>
        <w:t>adult learner</w:t>
      </w:r>
      <w:r>
        <w:rPr>
          <w:iCs/>
          <w:color w:val="auto"/>
          <w:sz w:val="22"/>
          <w:szCs w:val="22"/>
        </w:rPr>
        <w:t>s;</w:t>
      </w:r>
      <w:r w:rsidR="002421AA" w:rsidRPr="00AB74CC">
        <w:rPr>
          <w:iCs/>
          <w:color w:val="auto"/>
          <w:sz w:val="22"/>
          <w:szCs w:val="22"/>
        </w:rPr>
        <w:t xml:space="preserve"> </w:t>
      </w:r>
      <w:r w:rsidR="0002328D">
        <w:rPr>
          <w:iCs/>
          <w:color w:val="auto"/>
          <w:sz w:val="22"/>
          <w:szCs w:val="22"/>
        </w:rPr>
        <w:t xml:space="preserve">fully commuter campus, with race demographics </w:t>
      </w:r>
      <w:r w:rsidR="00FF6735">
        <w:rPr>
          <w:iCs/>
          <w:color w:val="auto"/>
          <w:sz w:val="22"/>
          <w:szCs w:val="22"/>
        </w:rPr>
        <w:t xml:space="preserve">of </w:t>
      </w:r>
      <w:r>
        <w:rPr>
          <w:iCs/>
          <w:color w:val="auto"/>
          <w:sz w:val="22"/>
          <w:szCs w:val="22"/>
        </w:rPr>
        <w:t>92</w:t>
      </w:r>
      <w:r w:rsidR="00FF3CCE" w:rsidRPr="00AB74CC">
        <w:rPr>
          <w:iCs/>
          <w:color w:val="auto"/>
          <w:sz w:val="22"/>
          <w:szCs w:val="22"/>
        </w:rPr>
        <w:t>% African-American, 3% C</w:t>
      </w:r>
      <w:r>
        <w:rPr>
          <w:iCs/>
          <w:color w:val="auto"/>
          <w:sz w:val="22"/>
          <w:szCs w:val="22"/>
        </w:rPr>
        <w:t>aucas</w:t>
      </w:r>
      <w:r w:rsidR="00354707">
        <w:rPr>
          <w:iCs/>
          <w:color w:val="auto"/>
          <w:sz w:val="22"/>
          <w:szCs w:val="22"/>
        </w:rPr>
        <w:t xml:space="preserve">ian, 3% Hispanic, and 2% Asian. </w:t>
      </w:r>
      <w:r w:rsidR="0002328D">
        <w:rPr>
          <w:iCs/>
          <w:color w:val="auto"/>
          <w:sz w:val="22"/>
          <w:szCs w:val="22"/>
        </w:rPr>
        <w:t>Alt</w:t>
      </w:r>
      <w:r w:rsidR="00FF6735">
        <w:rPr>
          <w:iCs/>
          <w:color w:val="auto"/>
          <w:sz w:val="22"/>
          <w:szCs w:val="22"/>
        </w:rPr>
        <w:t>hough 25</w:t>
      </w:r>
      <w:r w:rsidR="00C23FC9">
        <w:rPr>
          <w:iCs/>
          <w:color w:val="auto"/>
          <w:sz w:val="22"/>
          <w:szCs w:val="22"/>
        </w:rPr>
        <w:t>%</w:t>
      </w:r>
      <w:r>
        <w:rPr>
          <w:iCs/>
          <w:color w:val="auto"/>
          <w:sz w:val="22"/>
          <w:szCs w:val="22"/>
        </w:rPr>
        <w:t xml:space="preserve"> </w:t>
      </w:r>
      <w:r w:rsidR="00C23FC9">
        <w:rPr>
          <w:iCs/>
          <w:color w:val="auto"/>
          <w:sz w:val="22"/>
          <w:szCs w:val="22"/>
        </w:rPr>
        <w:t xml:space="preserve">of </w:t>
      </w:r>
      <w:r w:rsidR="0002328D">
        <w:rPr>
          <w:iCs/>
          <w:color w:val="auto"/>
          <w:sz w:val="22"/>
          <w:szCs w:val="22"/>
        </w:rPr>
        <w:t>AMSC</w:t>
      </w:r>
      <w:r w:rsidR="00FF6735">
        <w:rPr>
          <w:iCs/>
          <w:color w:val="auto"/>
          <w:sz w:val="22"/>
          <w:szCs w:val="22"/>
        </w:rPr>
        <w:t>’s</w:t>
      </w:r>
      <w:r w:rsidR="0002328D">
        <w:rPr>
          <w:iCs/>
          <w:color w:val="auto"/>
          <w:sz w:val="22"/>
          <w:szCs w:val="22"/>
        </w:rPr>
        <w:t xml:space="preserve"> </w:t>
      </w:r>
      <w:r w:rsidR="00D44FD7" w:rsidRPr="00AB74CC">
        <w:rPr>
          <w:iCs/>
          <w:color w:val="auto"/>
          <w:sz w:val="22"/>
          <w:szCs w:val="22"/>
        </w:rPr>
        <w:t>student</w:t>
      </w:r>
      <w:r w:rsidR="002421AA" w:rsidRPr="00AB74CC">
        <w:rPr>
          <w:iCs/>
          <w:color w:val="auto"/>
          <w:sz w:val="22"/>
          <w:szCs w:val="22"/>
        </w:rPr>
        <w:t>s require</w:t>
      </w:r>
      <w:r w:rsidR="00763326" w:rsidRPr="00AB74CC">
        <w:rPr>
          <w:iCs/>
          <w:color w:val="auto"/>
          <w:sz w:val="22"/>
          <w:szCs w:val="22"/>
        </w:rPr>
        <w:t xml:space="preserve"> at least one</w:t>
      </w:r>
      <w:r w:rsidR="002421AA" w:rsidRPr="00AB74CC">
        <w:rPr>
          <w:iCs/>
          <w:color w:val="auto"/>
          <w:sz w:val="22"/>
          <w:szCs w:val="22"/>
        </w:rPr>
        <w:t xml:space="preserve"> learning support</w:t>
      </w:r>
      <w:r w:rsidR="00763326" w:rsidRPr="00AB74CC">
        <w:rPr>
          <w:iCs/>
          <w:color w:val="auto"/>
          <w:sz w:val="22"/>
          <w:szCs w:val="22"/>
        </w:rPr>
        <w:t xml:space="preserve"> class, </w:t>
      </w:r>
      <w:r w:rsidR="00FF6735">
        <w:rPr>
          <w:iCs/>
          <w:color w:val="auto"/>
          <w:sz w:val="22"/>
          <w:szCs w:val="22"/>
        </w:rPr>
        <w:t xml:space="preserve">for the past several years, the College has consistently managed to maintain the second highest three-year Associate’s Degree </w:t>
      </w:r>
      <w:r w:rsidR="00043279" w:rsidRPr="00AB74CC">
        <w:rPr>
          <w:iCs/>
          <w:color w:val="auto"/>
          <w:sz w:val="22"/>
          <w:szCs w:val="22"/>
        </w:rPr>
        <w:t>graduation</w:t>
      </w:r>
      <w:r w:rsidR="00402864">
        <w:rPr>
          <w:iCs/>
          <w:color w:val="auto"/>
          <w:sz w:val="22"/>
          <w:szCs w:val="22"/>
        </w:rPr>
        <w:t xml:space="preserve"> rate among</w:t>
      </w:r>
      <w:r w:rsidR="00FF6735">
        <w:rPr>
          <w:iCs/>
          <w:color w:val="auto"/>
          <w:sz w:val="22"/>
          <w:szCs w:val="22"/>
        </w:rPr>
        <w:t xml:space="preserve"> State College</w:t>
      </w:r>
      <w:r w:rsidR="0011679F">
        <w:rPr>
          <w:iCs/>
          <w:color w:val="auto"/>
          <w:sz w:val="22"/>
          <w:szCs w:val="22"/>
        </w:rPr>
        <w:t>s</w:t>
      </w:r>
      <w:r w:rsidR="00402864">
        <w:rPr>
          <w:iCs/>
          <w:color w:val="auto"/>
          <w:sz w:val="22"/>
          <w:szCs w:val="22"/>
        </w:rPr>
        <w:t xml:space="preserve"> in the USG.</w:t>
      </w:r>
      <w:r w:rsidR="00B86C9D">
        <w:rPr>
          <w:iCs/>
          <w:color w:val="auto"/>
          <w:sz w:val="22"/>
          <w:szCs w:val="22"/>
        </w:rPr>
        <w:t xml:space="preserve"> </w:t>
      </w:r>
      <w:r w:rsidR="00FF6735">
        <w:rPr>
          <w:iCs/>
          <w:color w:val="auto"/>
          <w:sz w:val="22"/>
          <w:szCs w:val="22"/>
        </w:rPr>
        <w:t xml:space="preserve">AMSC </w:t>
      </w:r>
      <w:r w:rsidR="00E43903">
        <w:rPr>
          <w:iCs/>
          <w:color w:val="auto"/>
          <w:sz w:val="22"/>
          <w:szCs w:val="22"/>
        </w:rPr>
        <w:t>leads the State Colle</w:t>
      </w:r>
      <w:r w:rsidR="00D414ED">
        <w:rPr>
          <w:iCs/>
          <w:color w:val="auto"/>
          <w:sz w:val="22"/>
          <w:szCs w:val="22"/>
        </w:rPr>
        <w:t>ge</w:t>
      </w:r>
      <w:r w:rsidR="00FF6735">
        <w:rPr>
          <w:iCs/>
          <w:color w:val="auto"/>
          <w:sz w:val="22"/>
          <w:szCs w:val="22"/>
        </w:rPr>
        <w:t xml:space="preserve"> sector in A</w:t>
      </w:r>
      <w:r w:rsidR="00576FB5" w:rsidRPr="00AB74CC">
        <w:rPr>
          <w:iCs/>
          <w:color w:val="auto"/>
          <w:sz w:val="22"/>
          <w:szCs w:val="22"/>
        </w:rPr>
        <w:t>ssociate</w:t>
      </w:r>
      <w:r w:rsidR="00FF6735">
        <w:rPr>
          <w:iCs/>
          <w:color w:val="auto"/>
          <w:sz w:val="22"/>
          <w:szCs w:val="22"/>
        </w:rPr>
        <w:t>’s</w:t>
      </w:r>
      <w:r w:rsidR="00576FB5" w:rsidRPr="00AB74CC">
        <w:rPr>
          <w:iCs/>
          <w:color w:val="auto"/>
          <w:sz w:val="22"/>
          <w:szCs w:val="22"/>
        </w:rPr>
        <w:t xml:space="preserve"> degree graduation </w:t>
      </w:r>
      <w:r w:rsidR="00C23FC9">
        <w:rPr>
          <w:iCs/>
          <w:color w:val="auto"/>
          <w:sz w:val="22"/>
          <w:szCs w:val="22"/>
        </w:rPr>
        <w:t>rates for African-American students</w:t>
      </w:r>
      <w:r w:rsidR="00576FB5" w:rsidRPr="00AB74CC">
        <w:rPr>
          <w:iCs/>
          <w:color w:val="auto"/>
          <w:sz w:val="22"/>
          <w:szCs w:val="22"/>
        </w:rPr>
        <w:t>.</w:t>
      </w:r>
      <w:r w:rsidR="002421AA" w:rsidRPr="00AB74CC">
        <w:rPr>
          <w:iCs/>
          <w:color w:val="auto"/>
          <w:sz w:val="22"/>
          <w:szCs w:val="22"/>
        </w:rPr>
        <w:t xml:space="preserve"> </w:t>
      </w:r>
      <w:r w:rsidR="00354707">
        <w:rPr>
          <w:iCs/>
          <w:color w:val="auto"/>
          <w:sz w:val="22"/>
          <w:szCs w:val="22"/>
        </w:rPr>
        <w:t>Seventy-four</w:t>
      </w:r>
      <w:r w:rsidR="00C23FC9">
        <w:rPr>
          <w:iCs/>
          <w:color w:val="auto"/>
          <w:sz w:val="22"/>
          <w:szCs w:val="22"/>
        </w:rPr>
        <w:t xml:space="preserve"> </w:t>
      </w:r>
      <w:r w:rsidR="00D44FD7" w:rsidRPr="00AB74CC">
        <w:rPr>
          <w:iCs/>
          <w:color w:val="auto"/>
          <w:sz w:val="22"/>
          <w:szCs w:val="22"/>
        </w:rPr>
        <w:t>percent</w:t>
      </w:r>
      <w:r w:rsidR="00C23FC9">
        <w:rPr>
          <w:iCs/>
          <w:color w:val="auto"/>
          <w:sz w:val="22"/>
          <w:szCs w:val="22"/>
        </w:rPr>
        <w:t xml:space="preserve"> (74</w:t>
      </w:r>
      <w:r w:rsidR="00F6213E" w:rsidRPr="00AB74CC">
        <w:rPr>
          <w:iCs/>
          <w:color w:val="auto"/>
          <w:sz w:val="22"/>
          <w:szCs w:val="22"/>
        </w:rPr>
        <w:t xml:space="preserve">%) of </w:t>
      </w:r>
      <w:r w:rsidR="00FF6735">
        <w:rPr>
          <w:iCs/>
          <w:color w:val="auto"/>
          <w:sz w:val="22"/>
          <w:szCs w:val="22"/>
        </w:rPr>
        <w:t xml:space="preserve">Atlanta Metro’s </w:t>
      </w:r>
      <w:r w:rsidR="00F6213E" w:rsidRPr="00AB74CC">
        <w:rPr>
          <w:iCs/>
          <w:color w:val="auto"/>
          <w:sz w:val="22"/>
          <w:szCs w:val="22"/>
        </w:rPr>
        <w:t>student</w:t>
      </w:r>
      <w:r w:rsidR="00540014" w:rsidRPr="00AB74CC">
        <w:rPr>
          <w:iCs/>
          <w:color w:val="auto"/>
          <w:sz w:val="22"/>
          <w:szCs w:val="22"/>
        </w:rPr>
        <w:t>s</w:t>
      </w:r>
      <w:r w:rsidR="00F6213E" w:rsidRPr="00AB74CC">
        <w:rPr>
          <w:iCs/>
          <w:color w:val="auto"/>
          <w:sz w:val="22"/>
          <w:szCs w:val="22"/>
        </w:rPr>
        <w:t xml:space="preserve"> receive the </w:t>
      </w:r>
      <w:r w:rsidR="00540014" w:rsidRPr="00AB74CC">
        <w:rPr>
          <w:iCs/>
          <w:color w:val="auto"/>
          <w:sz w:val="22"/>
          <w:szCs w:val="22"/>
        </w:rPr>
        <w:t>P</w:t>
      </w:r>
      <w:r w:rsidR="00F6213E" w:rsidRPr="00AB74CC">
        <w:rPr>
          <w:iCs/>
          <w:color w:val="auto"/>
          <w:sz w:val="22"/>
          <w:szCs w:val="22"/>
        </w:rPr>
        <w:t xml:space="preserve">ell grant, and 90% of </w:t>
      </w:r>
      <w:r w:rsidR="00402864">
        <w:rPr>
          <w:iCs/>
          <w:color w:val="auto"/>
          <w:sz w:val="22"/>
          <w:szCs w:val="22"/>
        </w:rPr>
        <w:t xml:space="preserve">its </w:t>
      </w:r>
      <w:r w:rsidR="00F6213E" w:rsidRPr="00AB74CC">
        <w:rPr>
          <w:iCs/>
          <w:color w:val="auto"/>
          <w:sz w:val="22"/>
          <w:szCs w:val="22"/>
        </w:rPr>
        <w:t>students receive some form of financial aid.</w:t>
      </w:r>
      <w:r w:rsidR="0009292F">
        <w:rPr>
          <w:iCs/>
          <w:color w:val="auto"/>
          <w:sz w:val="22"/>
          <w:szCs w:val="22"/>
        </w:rPr>
        <w:t xml:space="preserve"> Approximately 32%</w:t>
      </w:r>
      <w:r w:rsidR="00A30FD2" w:rsidRPr="00AB74CC">
        <w:rPr>
          <w:iCs/>
          <w:color w:val="auto"/>
          <w:sz w:val="22"/>
          <w:szCs w:val="22"/>
        </w:rPr>
        <w:t xml:space="preserve"> of </w:t>
      </w:r>
      <w:r w:rsidR="0009292F">
        <w:rPr>
          <w:iCs/>
          <w:color w:val="auto"/>
          <w:sz w:val="22"/>
          <w:szCs w:val="22"/>
        </w:rPr>
        <w:t>AMSC</w:t>
      </w:r>
      <w:r w:rsidR="00402864">
        <w:rPr>
          <w:iCs/>
          <w:color w:val="auto"/>
          <w:sz w:val="22"/>
          <w:szCs w:val="22"/>
        </w:rPr>
        <w:t>’s</w:t>
      </w:r>
      <w:r w:rsidR="0009292F">
        <w:rPr>
          <w:iCs/>
          <w:color w:val="auto"/>
          <w:sz w:val="22"/>
          <w:szCs w:val="22"/>
        </w:rPr>
        <w:t xml:space="preserve"> </w:t>
      </w:r>
      <w:r w:rsidR="00A30FD2" w:rsidRPr="00AB74CC">
        <w:rPr>
          <w:iCs/>
          <w:color w:val="auto"/>
          <w:sz w:val="22"/>
          <w:szCs w:val="22"/>
        </w:rPr>
        <w:t xml:space="preserve">students major in Business and Computer Science </w:t>
      </w:r>
      <w:r w:rsidR="0009292F">
        <w:rPr>
          <w:iCs/>
          <w:color w:val="auto"/>
          <w:sz w:val="22"/>
          <w:szCs w:val="22"/>
        </w:rPr>
        <w:t xml:space="preserve">related </w:t>
      </w:r>
      <w:r w:rsidR="00A30FD2" w:rsidRPr="00AB74CC">
        <w:rPr>
          <w:iCs/>
          <w:color w:val="auto"/>
          <w:sz w:val="22"/>
          <w:szCs w:val="22"/>
        </w:rPr>
        <w:t>programs,</w:t>
      </w:r>
      <w:r w:rsidR="0009292F">
        <w:rPr>
          <w:iCs/>
          <w:color w:val="auto"/>
          <w:sz w:val="22"/>
          <w:szCs w:val="22"/>
        </w:rPr>
        <w:t xml:space="preserve"> 18</w:t>
      </w:r>
      <w:r w:rsidR="00576FB5" w:rsidRPr="00AB74CC">
        <w:rPr>
          <w:iCs/>
          <w:color w:val="auto"/>
          <w:sz w:val="22"/>
          <w:szCs w:val="22"/>
        </w:rPr>
        <w:t>%</w:t>
      </w:r>
      <w:r w:rsidR="00402864">
        <w:rPr>
          <w:iCs/>
          <w:color w:val="auto"/>
          <w:sz w:val="22"/>
          <w:szCs w:val="22"/>
        </w:rPr>
        <w:t xml:space="preserve"> major in</w:t>
      </w:r>
      <w:r w:rsidR="00576FB5" w:rsidRPr="00AB74CC">
        <w:rPr>
          <w:iCs/>
          <w:color w:val="auto"/>
          <w:sz w:val="22"/>
          <w:szCs w:val="22"/>
        </w:rPr>
        <w:t xml:space="preserve"> STEM and Allied Health programs,</w:t>
      </w:r>
      <w:r w:rsidR="00402864">
        <w:rPr>
          <w:iCs/>
          <w:color w:val="auto"/>
          <w:sz w:val="22"/>
          <w:szCs w:val="22"/>
        </w:rPr>
        <w:t xml:space="preserve"> </w:t>
      </w:r>
      <w:r w:rsidR="0009292F">
        <w:rPr>
          <w:iCs/>
          <w:color w:val="auto"/>
          <w:sz w:val="22"/>
          <w:szCs w:val="22"/>
        </w:rPr>
        <w:t xml:space="preserve">30% </w:t>
      </w:r>
      <w:r w:rsidR="00402864">
        <w:rPr>
          <w:iCs/>
          <w:color w:val="auto"/>
          <w:sz w:val="22"/>
          <w:szCs w:val="22"/>
        </w:rPr>
        <w:t xml:space="preserve">major in </w:t>
      </w:r>
      <w:r w:rsidR="0009292F">
        <w:rPr>
          <w:iCs/>
          <w:color w:val="auto"/>
          <w:sz w:val="22"/>
          <w:szCs w:val="22"/>
        </w:rPr>
        <w:t>Social Science</w:t>
      </w:r>
      <w:r w:rsidR="00402864">
        <w:rPr>
          <w:iCs/>
          <w:color w:val="auto"/>
          <w:sz w:val="22"/>
          <w:szCs w:val="22"/>
        </w:rPr>
        <w:t>s</w:t>
      </w:r>
      <w:r w:rsidR="0009292F">
        <w:rPr>
          <w:iCs/>
          <w:color w:val="auto"/>
          <w:sz w:val="22"/>
          <w:szCs w:val="22"/>
        </w:rPr>
        <w:t>, and 20</w:t>
      </w:r>
      <w:r w:rsidR="00576FB5" w:rsidRPr="00AB74CC">
        <w:rPr>
          <w:iCs/>
          <w:color w:val="auto"/>
          <w:sz w:val="22"/>
          <w:szCs w:val="22"/>
        </w:rPr>
        <w:t xml:space="preserve">% </w:t>
      </w:r>
      <w:r w:rsidR="00402864">
        <w:rPr>
          <w:iCs/>
          <w:color w:val="auto"/>
          <w:sz w:val="22"/>
          <w:szCs w:val="22"/>
        </w:rPr>
        <w:t xml:space="preserve">major in </w:t>
      </w:r>
      <w:r w:rsidR="00576FB5" w:rsidRPr="00AB74CC">
        <w:rPr>
          <w:iCs/>
          <w:color w:val="auto"/>
          <w:sz w:val="22"/>
          <w:szCs w:val="22"/>
        </w:rPr>
        <w:t>Humanities and Fine Arts.</w:t>
      </w:r>
      <w:r w:rsidR="00A30FD2" w:rsidRPr="00AB74CC">
        <w:rPr>
          <w:iCs/>
          <w:color w:val="auto"/>
          <w:sz w:val="22"/>
          <w:szCs w:val="22"/>
        </w:rPr>
        <w:t xml:space="preserve"> </w:t>
      </w:r>
    </w:p>
    <w:p w14:paraId="5795BB3D" w14:textId="77777777" w:rsidR="00235C05" w:rsidRDefault="00235C05" w:rsidP="00B6377F">
      <w:pPr>
        <w:pStyle w:val="Default"/>
        <w:keepNext/>
        <w:keepLines/>
        <w:shd w:val="clear" w:color="auto" w:fill="FFFFFF" w:themeFill="background1"/>
        <w:spacing w:line="276" w:lineRule="auto"/>
        <w:ind w:firstLine="720"/>
        <w:jc w:val="both"/>
        <w:rPr>
          <w:iCs/>
          <w:color w:val="auto"/>
          <w:sz w:val="22"/>
          <w:szCs w:val="22"/>
        </w:rPr>
      </w:pPr>
    </w:p>
    <w:p w14:paraId="49FD7FB2" w14:textId="72863420" w:rsidR="00235C05" w:rsidRDefault="00235C05" w:rsidP="00687536">
      <w:pPr>
        <w:pStyle w:val="Default"/>
        <w:keepNext/>
        <w:keepLines/>
        <w:shd w:val="clear" w:color="auto" w:fill="FFFFFF" w:themeFill="background1"/>
        <w:spacing w:line="276" w:lineRule="auto"/>
        <w:jc w:val="both"/>
        <w:rPr>
          <w:iCs/>
          <w:color w:val="auto"/>
          <w:sz w:val="22"/>
          <w:szCs w:val="22"/>
        </w:rPr>
      </w:pPr>
      <w:r>
        <w:rPr>
          <w:iCs/>
          <w:color w:val="auto"/>
          <w:sz w:val="22"/>
          <w:szCs w:val="22"/>
        </w:rPr>
        <w:t>Since 1974, AMSC’s history is replete with thousands of success stori</w:t>
      </w:r>
      <w:r w:rsidR="00A11B9C">
        <w:rPr>
          <w:iCs/>
          <w:color w:val="auto"/>
          <w:sz w:val="22"/>
          <w:szCs w:val="22"/>
        </w:rPr>
        <w:t>es of students who enter AMSC</w:t>
      </w:r>
      <w:r>
        <w:rPr>
          <w:iCs/>
          <w:color w:val="auto"/>
          <w:sz w:val="22"/>
          <w:szCs w:val="22"/>
        </w:rPr>
        <w:t xml:space="preserve">, many in learning support classes, </w:t>
      </w:r>
      <w:r w:rsidR="00365D05">
        <w:rPr>
          <w:iCs/>
          <w:color w:val="auto"/>
          <w:sz w:val="22"/>
          <w:szCs w:val="22"/>
        </w:rPr>
        <w:t xml:space="preserve">who graduate from AMSC, </w:t>
      </w:r>
      <w:r>
        <w:rPr>
          <w:iCs/>
          <w:color w:val="auto"/>
          <w:sz w:val="22"/>
          <w:szCs w:val="22"/>
        </w:rPr>
        <w:t>attend</w:t>
      </w:r>
      <w:r w:rsidR="00365D05">
        <w:rPr>
          <w:iCs/>
          <w:color w:val="auto"/>
          <w:sz w:val="22"/>
          <w:szCs w:val="22"/>
        </w:rPr>
        <w:t xml:space="preserve"> and distinguish themselves at </w:t>
      </w:r>
      <w:r>
        <w:rPr>
          <w:iCs/>
          <w:color w:val="auto"/>
          <w:sz w:val="22"/>
          <w:szCs w:val="22"/>
        </w:rPr>
        <w:t>the most prestigious professional a</w:t>
      </w:r>
      <w:r w:rsidR="00D414ED">
        <w:rPr>
          <w:iCs/>
          <w:color w:val="auto"/>
          <w:sz w:val="22"/>
          <w:szCs w:val="22"/>
        </w:rPr>
        <w:t>nd graduate schools in the country</w:t>
      </w:r>
      <w:r>
        <w:rPr>
          <w:iCs/>
          <w:color w:val="auto"/>
          <w:sz w:val="22"/>
          <w:szCs w:val="22"/>
        </w:rPr>
        <w:t>, and become recognized as authorities in their careers. The College takes great pride that 60% of its</w:t>
      </w:r>
      <w:r w:rsidRPr="00AB74CC">
        <w:rPr>
          <w:iCs/>
          <w:color w:val="auto"/>
          <w:sz w:val="22"/>
          <w:szCs w:val="22"/>
        </w:rPr>
        <w:t xml:space="preserve"> student population</w:t>
      </w:r>
      <w:r>
        <w:rPr>
          <w:iCs/>
          <w:color w:val="auto"/>
          <w:sz w:val="22"/>
          <w:szCs w:val="22"/>
        </w:rPr>
        <w:t xml:space="preserve"> are first </w:t>
      </w:r>
      <w:r w:rsidRPr="00AB74CC">
        <w:rPr>
          <w:iCs/>
          <w:color w:val="auto"/>
          <w:sz w:val="22"/>
          <w:szCs w:val="22"/>
        </w:rPr>
        <w:t>generation college student</w:t>
      </w:r>
      <w:r>
        <w:rPr>
          <w:iCs/>
          <w:color w:val="auto"/>
          <w:sz w:val="22"/>
          <w:szCs w:val="22"/>
        </w:rPr>
        <w:t>s, and 95%</w:t>
      </w:r>
      <w:r w:rsidR="00365D05">
        <w:rPr>
          <w:iCs/>
          <w:color w:val="auto"/>
          <w:sz w:val="22"/>
          <w:szCs w:val="22"/>
        </w:rPr>
        <w:t>+</w:t>
      </w:r>
      <w:r w:rsidR="00D265AB">
        <w:rPr>
          <w:iCs/>
          <w:color w:val="auto"/>
          <w:sz w:val="22"/>
          <w:szCs w:val="22"/>
        </w:rPr>
        <w:t xml:space="preserve"> are</w:t>
      </w:r>
      <w:r>
        <w:rPr>
          <w:iCs/>
          <w:color w:val="auto"/>
          <w:sz w:val="22"/>
          <w:szCs w:val="22"/>
        </w:rPr>
        <w:t xml:space="preserve"> Georgia</w:t>
      </w:r>
      <w:r w:rsidR="00D265AB">
        <w:rPr>
          <w:iCs/>
          <w:color w:val="auto"/>
          <w:sz w:val="22"/>
          <w:szCs w:val="22"/>
        </w:rPr>
        <w:t xml:space="preserve"> residents</w:t>
      </w:r>
      <w:r>
        <w:rPr>
          <w:iCs/>
          <w:color w:val="auto"/>
          <w:sz w:val="22"/>
          <w:szCs w:val="22"/>
        </w:rPr>
        <w:t>, from metro-Atlanta urban communities. Upon attaining their degrees, most of AMSC graduates retur</w:t>
      </w:r>
      <w:r w:rsidR="00914391">
        <w:rPr>
          <w:iCs/>
          <w:color w:val="auto"/>
          <w:sz w:val="22"/>
          <w:szCs w:val="22"/>
        </w:rPr>
        <w:t>n to metro-Atlanta cities, serve as</w:t>
      </w:r>
      <w:r w:rsidR="00365D05">
        <w:rPr>
          <w:iCs/>
          <w:color w:val="auto"/>
          <w:sz w:val="22"/>
          <w:szCs w:val="22"/>
        </w:rPr>
        <w:t xml:space="preserve"> productive</w:t>
      </w:r>
      <w:r>
        <w:rPr>
          <w:iCs/>
          <w:color w:val="auto"/>
          <w:sz w:val="22"/>
          <w:szCs w:val="22"/>
        </w:rPr>
        <w:t xml:space="preserve"> citizens</w:t>
      </w:r>
      <w:r w:rsidR="00D03CFF">
        <w:rPr>
          <w:iCs/>
          <w:color w:val="auto"/>
          <w:sz w:val="22"/>
          <w:szCs w:val="22"/>
        </w:rPr>
        <w:t>,</w:t>
      </w:r>
      <w:r w:rsidR="00914391">
        <w:rPr>
          <w:iCs/>
          <w:color w:val="auto"/>
          <w:sz w:val="22"/>
          <w:szCs w:val="22"/>
        </w:rPr>
        <w:t xml:space="preserve"> with impactful careers,</w:t>
      </w:r>
      <w:r w:rsidR="00D03CFF">
        <w:rPr>
          <w:iCs/>
          <w:color w:val="auto"/>
          <w:sz w:val="22"/>
          <w:szCs w:val="22"/>
        </w:rPr>
        <w:t xml:space="preserve"> cont</w:t>
      </w:r>
      <w:r w:rsidR="00D265AB">
        <w:rPr>
          <w:iCs/>
          <w:color w:val="auto"/>
          <w:sz w:val="22"/>
          <w:szCs w:val="22"/>
        </w:rPr>
        <w:t>ributing to the economic growth</w:t>
      </w:r>
      <w:r w:rsidR="00D03CFF">
        <w:rPr>
          <w:iCs/>
          <w:color w:val="auto"/>
          <w:sz w:val="22"/>
          <w:szCs w:val="22"/>
        </w:rPr>
        <w:t xml:space="preserve"> and civic life of</w:t>
      </w:r>
      <w:r>
        <w:rPr>
          <w:iCs/>
          <w:color w:val="auto"/>
          <w:sz w:val="22"/>
          <w:szCs w:val="22"/>
        </w:rPr>
        <w:t xml:space="preserve"> the State of Georgia.</w:t>
      </w:r>
    </w:p>
    <w:p w14:paraId="3687B0C5" w14:textId="77777777" w:rsidR="0002328D" w:rsidRDefault="0002328D" w:rsidP="00B6377F">
      <w:pPr>
        <w:pStyle w:val="Default"/>
        <w:keepNext/>
        <w:keepLines/>
        <w:shd w:val="clear" w:color="auto" w:fill="FFFFFF" w:themeFill="background1"/>
        <w:spacing w:line="276" w:lineRule="auto"/>
        <w:ind w:firstLine="720"/>
        <w:jc w:val="both"/>
        <w:rPr>
          <w:iCs/>
          <w:color w:val="auto"/>
          <w:sz w:val="22"/>
          <w:szCs w:val="22"/>
        </w:rPr>
      </w:pPr>
    </w:p>
    <w:p w14:paraId="1707E93E" w14:textId="79B4CA3E" w:rsidR="00687536" w:rsidRDefault="0002328D" w:rsidP="00687536">
      <w:pPr>
        <w:pStyle w:val="Default"/>
        <w:keepNext/>
        <w:keepLines/>
        <w:shd w:val="clear" w:color="auto" w:fill="FFFFFF" w:themeFill="background1"/>
        <w:spacing w:line="276" w:lineRule="auto"/>
        <w:jc w:val="both"/>
        <w:rPr>
          <w:iCs/>
          <w:color w:val="auto"/>
          <w:sz w:val="22"/>
          <w:szCs w:val="22"/>
        </w:rPr>
      </w:pPr>
      <w:r>
        <w:rPr>
          <w:iCs/>
          <w:color w:val="auto"/>
          <w:sz w:val="22"/>
          <w:szCs w:val="22"/>
        </w:rPr>
        <w:t xml:space="preserve">Atlanta Metropolitan State College </w:t>
      </w:r>
      <w:r w:rsidR="0079488C">
        <w:rPr>
          <w:iCs/>
          <w:color w:val="auto"/>
          <w:sz w:val="22"/>
          <w:szCs w:val="22"/>
        </w:rPr>
        <w:t>was approved for</w:t>
      </w:r>
      <w:r w:rsidR="00CF2765">
        <w:rPr>
          <w:iCs/>
          <w:color w:val="auto"/>
          <w:sz w:val="22"/>
          <w:szCs w:val="22"/>
        </w:rPr>
        <w:t xml:space="preserve"> a level </w:t>
      </w:r>
      <w:r w:rsidR="0079488C">
        <w:rPr>
          <w:iCs/>
          <w:color w:val="auto"/>
          <w:sz w:val="22"/>
          <w:szCs w:val="22"/>
        </w:rPr>
        <w:t>change</w:t>
      </w:r>
      <w:r w:rsidR="00914391">
        <w:rPr>
          <w:iCs/>
          <w:color w:val="auto"/>
          <w:sz w:val="22"/>
          <w:szCs w:val="22"/>
        </w:rPr>
        <w:t xml:space="preserve"> in 2012, and is currently</w:t>
      </w:r>
      <w:r w:rsidR="0079488C">
        <w:rPr>
          <w:iCs/>
          <w:color w:val="auto"/>
          <w:sz w:val="22"/>
          <w:szCs w:val="22"/>
        </w:rPr>
        <w:t xml:space="preserve"> a level two</w:t>
      </w:r>
      <w:r w:rsidR="00CF2765">
        <w:rPr>
          <w:iCs/>
          <w:color w:val="auto"/>
          <w:sz w:val="22"/>
          <w:szCs w:val="22"/>
        </w:rPr>
        <w:t xml:space="preserve"> SACS accredited</w:t>
      </w:r>
      <w:r w:rsidR="00511B46">
        <w:rPr>
          <w:iCs/>
          <w:color w:val="auto"/>
          <w:sz w:val="22"/>
          <w:szCs w:val="22"/>
        </w:rPr>
        <w:t xml:space="preserve"> institution</w:t>
      </w:r>
      <w:r w:rsidR="00CF2765">
        <w:rPr>
          <w:iCs/>
          <w:color w:val="auto"/>
          <w:sz w:val="22"/>
          <w:szCs w:val="22"/>
        </w:rPr>
        <w:t xml:space="preserve">, </w:t>
      </w:r>
      <w:r w:rsidR="00914391">
        <w:rPr>
          <w:iCs/>
          <w:color w:val="auto"/>
          <w:sz w:val="22"/>
          <w:szCs w:val="22"/>
        </w:rPr>
        <w:t xml:space="preserve">authorized to offer </w:t>
      </w:r>
      <w:r w:rsidR="00CF2765">
        <w:rPr>
          <w:iCs/>
          <w:color w:val="auto"/>
          <w:sz w:val="22"/>
          <w:szCs w:val="22"/>
        </w:rPr>
        <w:t xml:space="preserve">baccalaureate </w:t>
      </w:r>
      <w:r w:rsidR="00914391">
        <w:rPr>
          <w:iCs/>
          <w:color w:val="auto"/>
          <w:sz w:val="22"/>
          <w:szCs w:val="22"/>
        </w:rPr>
        <w:t>degrees, with majors in</w:t>
      </w:r>
      <w:r w:rsidR="00511B46">
        <w:rPr>
          <w:iCs/>
          <w:color w:val="auto"/>
          <w:sz w:val="22"/>
          <w:szCs w:val="22"/>
        </w:rPr>
        <w:t xml:space="preserve"> Business Administration, Digital Media</w:t>
      </w:r>
      <w:r w:rsidR="00D03CFF">
        <w:rPr>
          <w:iCs/>
          <w:color w:val="auto"/>
          <w:sz w:val="22"/>
          <w:szCs w:val="22"/>
        </w:rPr>
        <w:t xml:space="preserve"> and Entertainment</w:t>
      </w:r>
      <w:r w:rsidR="00511B46">
        <w:rPr>
          <w:iCs/>
          <w:color w:val="auto"/>
          <w:sz w:val="22"/>
          <w:szCs w:val="22"/>
        </w:rPr>
        <w:t>, Applied Math</w:t>
      </w:r>
      <w:r w:rsidR="00D414ED">
        <w:rPr>
          <w:iCs/>
          <w:color w:val="auto"/>
          <w:sz w:val="22"/>
          <w:szCs w:val="22"/>
        </w:rPr>
        <w:t>ematics</w:t>
      </w:r>
      <w:r w:rsidR="00D03CFF">
        <w:rPr>
          <w:iCs/>
          <w:color w:val="auto"/>
          <w:sz w:val="22"/>
          <w:szCs w:val="22"/>
        </w:rPr>
        <w:t>, Biological S</w:t>
      </w:r>
      <w:r w:rsidR="00202C13">
        <w:rPr>
          <w:iCs/>
          <w:color w:val="auto"/>
          <w:sz w:val="22"/>
          <w:szCs w:val="22"/>
        </w:rPr>
        <w:t xml:space="preserve">cience, Criminal Justice, and </w:t>
      </w:r>
      <w:r w:rsidR="00D03CFF">
        <w:rPr>
          <w:iCs/>
          <w:color w:val="auto"/>
          <w:sz w:val="22"/>
          <w:szCs w:val="22"/>
        </w:rPr>
        <w:t xml:space="preserve">Organizational Leadership, a fully online e-major program. </w:t>
      </w:r>
      <w:r w:rsidR="00511B46">
        <w:rPr>
          <w:iCs/>
          <w:color w:val="auto"/>
          <w:sz w:val="22"/>
          <w:szCs w:val="22"/>
        </w:rPr>
        <w:t xml:space="preserve"> Other</w:t>
      </w:r>
      <w:r w:rsidR="00202C13">
        <w:rPr>
          <w:iCs/>
          <w:color w:val="auto"/>
          <w:sz w:val="22"/>
          <w:szCs w:val="22"/>
        </w:rPr>
        <w:t xml:space="preserve"> AMSC signature programs include</w:t>
      </w:r>
      <w:r w:rsidR="00511B46">
        <w:rPr>
          <w:iCs/>
          <w:color w:val="auto"/>
          <w:sz w:val="22"/>
          <w:szCs w:val="22"/>
        </w:rPr>
        <w:t xml:space="preserve"> the Moses Ector Law Enforcement Leadership Academy</w:t>
      </w:r>
      <w:r w:rsidR="00CF2765">
        <w:rPr>
          <w:iCs/>
          <w:color w:val="auto"/>
          <w:sz w:val="22"/>
          <w:szCs w:val="22"/>
        </w:rPr>
        <w:t xml:space="preserve"> </w:t>
      </w:r>
      <w:r w:rsidR="009B371F">
        <w:rPr>
          <w:iCs/>
          <w:color w:val="auto"/>
          <w:sz w:val="22"/>
          <w:szCs w:val="22"/>
        </w:rPr>
        <w:t>(</w:t>
      </w:r>
      <w:r w:rsidR="00D414ED">
        <w:rPr>
          <w:iCs/>
          <w:color w:val="auto"/>
          <w:sz w:val="22"/>
          <w:szCs w:val="22"/>
        </w:rPr>
        <w:t>ME</w:t>
      </w:r>
      <w:r w:rsidR="009B371F">
        <w:rPr>
          <w:iCs/>
          <w:color w:val="auto"/>
          <w:sz w:val="22"/>
          <w:szCs w:val="22"/>
        </w:rPr>
        <w:t>LELA),</w:t>
      </w:r>
      <w:r w:rsidR="00202C13">
        <w:rPr>
          <w:iCs/>
          <w:color w:val="auto"/>
          <w:sz w:val="22"/>
          <w:szCs w:val="22"/>
        </w:rPr>
        <w:t xml:space="preserve"> a </w:t>
      </w:r>
      <w:r w:rsidR="00D03CFF">
        <w:rPr>
          <w:iCs/>
          <w:color w:val="auto"/>
          <w:sz w:val="22"/>
          <w:szCs w:val="22"/>
        </w:rPr>
        <w:t xml:space="preserve">1+2 </w:t>
      </w:r>
      <w:r w:rsidR="00202C13">
        <w:rPr>
          <w:iCs/>
          <w:color w:val="auto"/>
          <w:sz w:val="22"/>
          <w:szCs w:val="22"/>
        </w:rPr>
        <w:t xml:space="preserve">Joint </w:t>
      </w:r>
      <w:r w:rsidR="00D03CFF">
        <w:rPr>
          <w:iCs/>
          <w:color w:val="auto"/>
          <w:sz w:val="22"/>
          <w:szCs w:val="22"/>
        </w:rPr>
        <w:t>Program in Radiologic Technology</w:t>
      </w:r>
      <w:r w:rsidR="00202C13">
        <w:rPr>
          <w:iCs/>
          <w:color w:val="auto"/>
          <w:sz w:val="22"/>
          <w:szCs w:val="22"/>
        </w:rPr>
        <w:t xml:space="preserve"> with Grady Hospital</w:t>
      </w:r>
      <w:r w:rsidR="00D03CFF">
        <w:rPr>
          <w:iCs/>
          <w:color w:val="auto"/>
          <w:sz w:val="22"/>
          <w:szCs w:val="22"/>
        </w:rPr>
        <w:t xml:space="preserve">, </w:t>
      </w:r>
      <w:r w:rsidR="00914391">
        <w:rPr>
          <w:iCs/>
          <w:color w:val="auto"/>
          <w:sz w:val="22"/>
          <w:szCs w:val="22"/>
        </w:rPr>
        <w:t xml:space="preserve">several transfer articulation agreements with Atlanta Technical College, </w:t>
      </w:r>
      <w:r w:rsidR="00202C13">
        <w:rPr>
          <w:iCs/>
          <w:color w:val="auto"/>
          <w:sz w:val="22"/>
          <w:szCs w:val="22"/>
        </w:rPr>
        <w:t>and a teacher education program offered by Kennesaw State University on the AMSC campus.</w:t>
      </w:r>
      <w:r w:rsidR="00914391">
        <w:rPr>
          <w:iCs/>
          <w:color w:val="auto"/>
          <w:sz w:val="22"/>
          <w:szCs w:val="22"/>
        </w:rPr>
        <w:t xml:space="preserve"> AMSC</w:t>
      </w:r>
      <w:r w:rsidR="00B6377F">
        <w:rPr>
          <w:iCs/>
          <w:color w:val="auto"/>
          <w:sz w:val="22"/>
          <w:szCs w:val="22"/>
        </w:rPr>
        <w:t xml:space="preserve"> engages</w:t>
      </w:r>
      <w:r w:rsidR="00D03CFF">
        <w:rPr>
          <w:iCs/>
          <w:color w:val="auto"/>
          <w:sz w:val="22"/>
          <w:szCs w:val="22"/>
        </w:rPr>
        <w:t xml:space="preserve"> in</w:t>
      </w:r>
      <w:r w:rsidR="00B6377F">
        <w:rPr>
          <w:iCs/>
          <w:color w:val="auto"/>
          <w:sz w:val="22"/>
          <w:szCs w:val="22"/>
        </w:rPr>
        <w:t xml:space="preserve"> numerous metro-Atlanta and community-b</w:t>
      </w:r>
      <w:r w:rsidR="00202C13">
        <w:rPr>
          <w:iCs/>
          <w:color w:val="auto"/>
          <w:sz w:val="22"/>
          <w:szCs w:val="22"/>
        </w:rPr>
        <w:t>ased partnerships that “connect</w:t>
      </w:r>
      <w:r w:rsidR="00B6377F">
        <w:rPr>
          <w:iCs/>
          <w:color w:val="auto"/>
          <w:sz w:val="22"/>
          <w:szCs w:val="22"/>
        </w:rPr>
        <w:t xml:space="preserve"> the college to the </w:t>
      </w:r>
      <w:r w:rsidR="00914391">
        <w:rPr>
          <w:iCs/>
          <w:color w:val="auto"/>
          <w:sz w:val="22"/>
          <w:szCs w:val="22"/>
        </w:rPr>
        <w:t>community.” AMSC partners are from a range of sectors, including</w:t>
      </w:r>
      <w:r w:rsidR="00202C13">
        <w:rPr>
          <w:iCs/>
          <w:color w:val="auto"/>
          <w:sz w:val="22"/>
          <w:szCs w:val="22"/>
        </w:rPr>
        <w:t xml:space="preserve"> (1) corporate, (2) s</w:t>
      </w:r>
      <w:r w:rsidR="00B6377F">
        <w:rPr>
          <w:iCs/>
          <w:color w:val="auto"/>
          <w:sz w:val="22"/>
          <w:szCs w:val="22"/>
        </w:rPr>
        <w:t xml:space="preserve">econdary </w:t>
      </w:r>
      <w:r w:rsidR="00202C13">
        <w:rPr>
          <w:iCs/>
          <w:color w:val="auto"/>
          <w:sz w:val="22"/>
          <w:szCs w:val="22"/>
        </w:rPr>
        <w:t>and post-s</w:t>
      </w:r>
      <w:r w:rsidR="00B6377F">
        <w:rPr>
          <w:iCs/>
          <w:color w:val="auto"/>
          <w:sz w:val="22"/>
          <w:szCs w:val="22"/>
        </w:rPr>
        <w:t>econdary</w:t>
      </w:r>
      <w:r w:rsidR="00202C13">
        <w:rPr>
          <w:iCs/>
          <w:color w:val="auto"/>
          <w:sz w:val="22"/>
          <w:szCs w:val="22"/>
        </w:rPr>
        <w:t xml:space="preserve"> education</w:t>
      </w:r>
      <w:r w:rsidR="00B6377F">
        <w:rPr>
          <w:iCs/>
          <w:color w:val="auto"/>
          <w:sz w:val="22"/>
          <w:szCs w:val="22"/>
        </w:rPr>
        <w:t>,</w:t>
      </w:r>
      <w:r w:rsidR="00202C13">
        <w:rPr>
          <w:iCs/>
          <w:color w:val="auto"/>
          <w:sz w:val="22"/>
          <w:szCs w:val="22"/>
        </w:rPr>
        <w:t xml:space="preserve"> (3) small businesses, (4) medical, (5) entrepreneurships,</w:t>
      </w:r>
      <w:r w:rsidR="00B6377F">
        <w:rPr>
          <w:iCs/>
          <w:color w:val="auto"/>
          <w:sz w:val="22"/>
          <w:szCs w:val="22"/>
        </w:rPr>
        <w:t xml:space="preserve"> and </w:t>
      </w:r>
      <w:r w:rsidR="00202C13">
        <w:rPr>
          <w:iCs/>
          <w:color w:val="auto"/>
          <w:sz w:val="22"/>
          <w:szCs w:val="22"/>
        </w:rPr>
        <w:t xml:space="preserve">(6) </w:t>
      </w:r>
      <w:r w:rsidR="00B6377F">
        <w:rPr>
          <w:iCs/>
          <w:color w:val="auto"/>
          <w:sz w:val="22"/>
          <w:szCs w:val="22"/>
        </w:rPr>
        <w:t>Faith-Based/Private</w:t>
      </w:r>
      <w:r w:rsidR="00D03CFF">
        <w:rPr>
          <w:iCs/>
          <w:color w:val="auto"/>
          <w:sz w:val="22"/>
          <w:szCs w:val="22"/>
        </w:rPr>
        <w:t xml:space="preserve"> institutions. Atlanta Metropolitan State College</w:t>
      </w:r>
      <w:r w:rsidR="00202C13">
        <w:rPr>
          <w:iCs/>
          <w:color w:val="auto"/>
          <w:sz w:val="22"/>
          <w:szCs w:val="22"/>
        </w:rPr>
        <w:t xml:space="preserve"> has a $114M economic impact on</w:t>
      </w:r>
      <w:r w:rsidR="00B6377F">
        <w:rPr>
          <w:iCs/>
          <w:color w:val="auto"/>
          <w:sz w:val="22"/>
          <w:szCs w:val="22"/>
        </w:rPr>
        <w:t xml:space="preserve"> the </w:t>
      </w:r>
      <w:r w:rsidR="00202C13">
        <w:rPr>
          <w:iCs/>
          <w:color w:val="auto"/>
          <w:sz w:val="22"/>
          <w:szCs w:val="22"/>
        </w:rPr>
        <w:t>m</w:t>
      </w:r>
      <w:r w:rsidR="00151550">
        <w:rPr>
          <w:iCs/>
          <w:color w:val="auto"/>
          <w:sz w:val="22"/>
          <w:szCs w:val="22"/>
        </w:rPr>
        <w:t>etro-Atlanta</w:t>
      </w:r>
      <w:r w:rsidR="00660D43">
        <w:rPr>
          <w:iCs/>
          <w:color w:val="auto"/>
          <w:sz w:val="22"/>
          <w:szCs w:val="22"/>
        </w:rPr>
        <w:t xml:space="preserve"> region.</w:t>
      </w:r>
      <w:r w:rsidR="00235C05">
        <w:rPr>
          <w:iCs/>
          <w:color w:val="auto"/>
          <w:sz w:val="22"/>
          <w:szCs w:val="22"/>
        </w:rPr>
        <w:t xml:space="preserve"> </w:t>
      </w:r>
    </w:p>
    <w:p w14:paraId="78359177" w14:textId="77777777" w:rsidR="00687536" w:rsidRDefault="00687536" w:rsidP="00A11B9C">
      <w:pPr>
        <w:pStyle w:val="Default"/>
        <w:keepNext/>
        <w:keepLines/>
        <w:shd w:val="clear" w:color="auto" w:fill="FFFFFF" w:themeFill="background1"/>
        <w:spacing w:line="276" w:lineRule="auto"/>
        <w:ind w:firstLine="720"/>
        <w:jc w:val="both"/>
        <w:rPr>
          <w:iCs/>
          <w:color w:val="auto"/>
          <w:sz w:val="22"/>
          <w:szCs w:val="22"/>
        </w:rPr>
      </w:pPr>
    </w:p>
    <w:p w14:paraId="3A1A674F" w14:textId="77777777" w:rsidR="00687536" w:rsidRDefault="00687536" w:rsidP="00A11B9C">
      <w:pPr>
        <w:pStyle w:val="Default"/>
        <w:keepNext/>
        <w:keepLines/>
        <w:shd w:val="clear" w:color="auto" w:fill="FFFFFF" w:themeFill="background1"/>
        <w:spacing w:line="276" w:lineRule="auto"/>
        <w:ind w:firstLine="720"/>
        <w:jc w:val="both"/>
        <w:rPr>
          <w:iCs/>
          <w:color w:val="auto"/>
          <w:sz w:val="22"/>
          <w:szCs w:val="22"/>
        </w:rPr>
      </w:pPr>
    </w:p>
    <w:p w14:paraId="5184C2D5" w14:textId="5AAAF8D4" w:rsidR="009C5DE4" w:rsidRDefault="00511B46" w:rsidP="00B87766">
      <w:pPr>
        <w:pStyle w:val="Default"/>
        <w:keepNext/>
        <w:keepLines/>
        <w:shd w:val="clear" w:color="auto" w:fill="FFFFFF" w:themeFill="background1"/>
        <w:spacing w:line="276" w:lineRule="auto"/>
        <w:jc w:val="both"/>
        <w:rPr>
          <w:iCs/>
          <w:color w:val="auto"/>
          <w:sz w:val="22"/>
          <w:szCs w:val="22"/>
        </w:rPr>
      </w:pPr>
      <w:r>
        <w:rPr>
          <w:iCs/>
          <w:color w:val="auto"/>
          <w:sz w:val="22"/>
          <w:szCs w:val="22"/>
        </w:rPr>
        <w:lastRenderedPageBreak/>
        <w:t xml:space="preserve">Atlanta Metropolitan State College has two overarching </w:t>
      </w:r>
      <w:r w:rsidR="008A2548" w:rsidRPr="00AB74CC">
        <w:rPr>
          <w:iCs/>
          <w:color w:val="auto"/>
          <w:sz w:val="22"/>
          <w:szCs w:val="22"/>
        </w:rPr>
        <w:t>Complet</w:t>
      </w:r>
      <w:r w:rsidR="00221986">
        <w:rPr>
          <w:iCs/>
          <w:color w:val="auto"/>
          <w:sz w:val="22"/>
          <w:szCs w:val="22"/>
        </w:rPr>
        <w:t>e College Georgia (CCG) priorities</w:t>
      </w:r>
      <w:r>
        <w:rPr>
          <w:iCs/>
          <w:color w:val="auto"/>
          <w:sz w:val="22"/>
          <w:szCs w:val="22"/>
        </w:rPr>
        <w:t>:</w:t>
      </w:r>
      <w:r w:rsidR="008A2548" w:rsidRPr="00AB74CC">
        <w:rPr>
          <w:iCs/>
          <w:color w:val="auto"/>
          <w:sz w:val="22"/>
          <w:szCs w:val="22"/>
        </w:rPr>
        <w:t xml:space="preserve"> </w:t>
      </w:r>
      <w:r w:rsidR="00221986">
        <w:rPr>
          <w:iCs/>
          <w:color w:val="auto"/>
          <w:sz w:val="22"/>
          <w:szCs w:val="22"/>
        </w:rPr>
        <w:t xml:space="preserve">(1) </w:t>
      </w:r>
      <w:r>
        <w:rPr>
          <w:iCs/>
          <w:color w:val="auto"/>
          <w:sz w:val="22"/>
          <w:szCs w:val="22"/>
        </w:rPr>
        <w:t>to achieve</w:t>
      </w:r>
      <w:r w:rsidR="00ED743B">
        <w:rPr>
          <w:iCs/>
          <w:color w:val="auto"/>
          <w:sz w:val="22"/>
          <w:szCs w:val="22"/>
        </w:rPr>
        <w:t xml:space="preserve"> and sustain</w:t>
      </w:r>
      <w:r>
        <w:rPr>
          <w:iCs/>
          <w:color w:val="auto"/>
          <w:sz w:val="22"/>
          <w:szCs w:val="22"/>
        </w:rPr>
        <w:t xml:space="preserve">, at a minimum, the </w:t>
      </w:r>
      <w:r w:rsidR="00221986">
        <w:rPr>
          <w:iCs/>
          <w:color w:val="auto"/>
          <w:sz w:val="22"/>
          <w:szCs w:val="22"/>
        </w:rPr>
        <w:t>national graduation rate</w:t>
      </w:r>
      <w:r>
        <w:rPr>
          <w:iCs/>
          <w:color w:val="auto"/>
          <w:sz w:val="22"/>
          <w:szCs w:val="22"/>
        </w:rPr>
        <w:t xml:space="preserve"> of 24% for as</w:t>
      </w:r>
      <w:r w:rsidR="00221986">
        <w:rPr>
          <w:iCs/>
          <w:color w:val="auto"/>
          <w:sz w:val="22"/>
          <w:szCs w:val="22"/>
        </w:rPr>
        <w:t xml:space="preserve">sociate’s degree seekers, </w:t>
      </w:r>
      <w:r w:rsidR="00B73FCA">
        <w:rPr>
          <w:iCs/>
          <w:color w:val="auto"/>
          <w:sz w:val="22"/>
          <w:szCs w:val="22"/>
        </w:rPr>
        <w:t>an</w:t>
      </w:r>
      <w:r w:rsidR="00ED743B">
        <w:rPr>
          <w:iCs/>
          <w:color w:val="auto"/>
          <w:sz w:val="22"/>
          <w:szCs w:val="22"/>
        </w:rPr>
        <w:t>d</w:t>
      </w:r>
      <w:r w:rsidR="00B73FCA">
        <w:rPr>
          <w:iCs/>
          <w:color w:val="auto"/>
          <w:sz w:val="22"/>
          <w:szCs w:val="22"/>
        </w:rPr>
        <w:t xml:space="preserve"> </w:t>
      </w:r>
      <w:r w:rsidR="00ED743B">
        <w:rPr>
          <w:iCs/>
          <w:color w:val="auto"/>
          <w:sz w:val="22"/>
          <w:szCs w:val="22"/>
        </w:rPr>
        <w:t xml:space="preserve">a 70% </w:t>
      </w:r>
      <w:r w:rsidR="008A2548" w:rsidRPr="00AB74CC">
        <w:rPr>
          <w:iCs/>
          <w:color w:val="auto"/>
          <w:sz w:val="22"/>
          <w:szCs w:val="22"/>
        </w:rPr>
        <w:t>graduation rat</w:t>
      </w:r>
      <w:r>
        <w:rPr>
          <w:iCs/>
          <w:color w:val="auto"/>
          <w:sz w:val="22"/>
          <w:szCs w:val="22"/>
        </w:rPr>
        <w:t>e fo</w:t>
      </w:r>
      <w:r w:rsidR="00D65037">
        <w:rPr>
          <w:iCs/>
          <w:color w:val="auto"/>
          <w:sz w:val="22"/>
          <w:szCs w:val="22"/>
        </w:rPr>
        <w:t>r bachelor’s degree seekers,</w:t>
      </w:r>
      <w:r>
        <w:rPr>
          <w:iCs/>
          <w:color w:val="auto"/>
          <w:sz w:val="22"/>
          <w:szCs w:val="22"/>
        </w:rPr>
        <w:t xml:space="preserve"> (2) to award</w:t>
      </w:r>
      <w:r w:rsidR="008A2548" w:rsidRPr="00AB74CC">
        <w:rPr>
          <w:iCs/>
          <w:color w:val="auto"/>
          <w:sz w:val="22"/>
          <w:szCs w:val="22"/>
        </w:rPr>
        <w:t xml:space="preserve"> 600 post-sec</w:t>
      </w:r>
      <w:r w:rsidR="00B73FCA">
        <w:rPr>
          <w:iCs/>
          <w:color w:val="auto"/>
          <w:sz w:val="22"/>
          <w:szCs w:val="22"/>
        </w:rPr>
        <w:t>ondary credentials</w:t>
      </w:r>
      <w:r w:rsidR="006F4B7E">
        <w:rPr>
          <w:iCs/>
          <w:color w:val="auto"/>
          <w:sz w:val="22"/>
          <w:szCs w:val="22"/>
        </w:rPr>
        <w:t xml:space="preserve"> annually, by 2025</w:t>
      </w:r>
      <w:r w:rsidR="008A2548" w:rsidRPr="00AB74CC">
        <w:rPr>
          <w:iCs/>
          <w:color w:val="auto"/>
          <w:sz w:val="22"/>
          <w:szCs w:val="22"/>
        </w:rPr>
        <w:t xml:space="preserve">. </w:t>
      </w:r>
      <w:r w:rsidR="00963581">
        <w:rPr>
          <w:iCs/>
          <w:color w:val="auto"/>
          <w:sz w:val="22"/>
          <w:szCs w:val="22"/>
        </w:rPr>
        <w:t>Since</w:t>
      </w:r>
      <w:r w:rsidR="00D65037">
        <w:rPr>
          <w:iCs/>
          <w:color w:val="auto"/>
          <w:sz w:val="22"/>
          <w:szCs w:val="22"/>
        </w:rPr>
        <w:t xml:space="preserve"> the </w:t>
      </w:r>
      <w:r w:rsidR="00963581">
        <w:rPr>
          <w:iCs/>
          <w:color w:val="auto"/>
          <w:sz w:val="22"/>
          <w:szCs w:val="22"/>
        </w:rPr>
        <w:t xml:space="preserve">initiation of CCG, AMSC has increased its conferred credentials from 276/year to 353/year, </w:t>
      </w:r>
      <w:r w:rsidR="00075519">
        <w:rPr>
          <w:iCs/>
          <w:color w:val="auto"/>
          <w:sz w:val="22"/>
          <w:szCs w:val="22"/>
        </w:rPr>
        <w:t>representing a</w:t>
      </w:r>
      <w:r w:rsidR="00396E7E">
        <w:rPr>
          <w:iCs/>
          <w:color w:val="auto"/>
          <w:sz w:val="22"/>
          <w:szCs w:val="22"/>
        </w:rPr>
        <w:t xml:space="preserve"> +40%</w:t>
      </w:r>
      <w:r w:rsidR="00D65037">
        <w:rPr>
          <w:iCs/>
          <w:color w:val="auto"/>
          <w:sz w:val="22"/>
          <w:szCs w:val="22"/>
        </w:rPr>
        <w:t xml:space="preserve"> increase in credential </w:t>
      </w:r>
      <w:r w:rsidR="00075519">
        <w:rPr>
          <w:iCs/>
          <w:color w:val="auto"/>
          <w:sz w:val="22"/>
          <w:szCs w:val="22"/>
        </w:rPr>
        <w:t>conferred</w:t>
      </w:r>
      <w:r w:rsidR="00D65037">
        <w:rPr>
          <w:iCs/>
          <w:color w:val="auto"/>
          <w:sz w:val="22"/>
          <w:szCs w:val="22"/>
        </w:rPr>
        <w:t xml:space="preserve"> over a five</w:t>
      </w:r>
      <w:r w:rsidR="00660D43">
        <w:rPr>
          <w:iCs/>
          <w:color w:val="auto"/>
          <w:sz w:val="22"/>
          <w:szCs w:val="22"/>
        </w:rPr>
        <w:t>-</w:t>
      </w:r>
      <w:r w:rsidR="00075519">
        <w:rPr>
          <w:iCs/>
          <w:color w:val="auto"/>
          <w:sz w:val="22"/>
          <w:szCs w:val="22"/>
        </w:rPr>
        <w:t>year period</w:t>
      </w:r>
      <w:r w:rsidR="00D65037">
        <w:rPr>
          <w:iCs/>
          <w:color w:val="auto"/>
          <w:sz w:val="22"/>
          <w:szCs w:val="22"/>
        </w:rPr>
        <w:t xml:space="preserve"> (Graph below)</w:t>
      </w:r>
      <w:r w:rsidR="00075519">
        <w:rPr>
          <w:iCs/>
          <w:color w:val="auto"/>
          <w:sz w:val="22"/>
          <w:szCs w:val="22"/>
        </w:rPr>
        <w:t>.</w:t>
      </w:r>
      <w:r w:rsidR="00963581">
        <w:rPr>
          <w:iCs/>
          <w:color w:val="auto"/>
          <w:sz w:val="22"/>
          <w:szCs w:val="22"/>
        </w:rPr>
        <w:t xml:space="preserve"> </w:t>
      </w:r>
      <w:r w:rsidR="00A11B9C">
        <w:rPr>
          <w:iCs/>
          <w:color w:val="auto"/>
          <w:sz w:val="22"/>
          <w:szCs w:val="22"/>
        </w:rPr>
        <w:t xml:space="preserve"> </w:t>
      </w:r>
      <w:r w:rsidR="00963581">
        <w:rPr>
          <w:iCs/>
          <w:color w:val="auto"/>
          <w:sz w:val="22"/>
          <w:szCs w:val="22"/>
        </w:rPr>
        <w:t>The broader scope and greater impact of strategies presented in this CCG update will move</w:t>
      </w:r>
      <w:r w:rsidR="001D68DB">
        <w:rPr>
          <w:iCs/>
          <w:color w:val="auto"/>
          <w:sz w:val="22"/>
          <w:szCs w:val="22"/>
        </w:rPr>
        <w:t xml:space="preserve"> the in</w:t>
      </w:r>
      <w:r w:rsidR="00D65037">
        <w:rPr>
          <w:iCs/>
          <w:color w:val="auto"/>
          <w:sz w:val="22"/>
          <w:szCs w:val="22"/>
        </w:rPr>
        <w:t>stitution closer to</w:t>
      </w:r>
      <w:r w:rsidR="00963581">
        <w:rPr>
          <w:iCs/>
          <w:color w:val="auto"/>
          <w:sz w:val="22"/>
          <w:szCs w:val="22"/>
        </w:rPr>
        <w:t xml:space="preserve"> its 2025 target.</w:t>
      </w:r>
    </w:p>
    <w:p w14:paraId="28DFECFE" w14:textId="6A07B74C" w:rsidR="004F2525" w:rsidRDefault="00660D43" w:rsidP="004F2525">
      <w:pPr>
        <w:pStyle w:val="Default"/>
        <w:shd w:val="clear" w:color="auto" w:fill="FFFFFF" w:themeFill="background1"/>
        <w:spacing w:line="276" w:lineRule="auto"/>
        <w:ind w:firstLine="720"/>
        <w:jc w:val="both"/>
        <w:rPr>
          <w:iCs/>
          <w:color w:val="auto"/>
          <w:sz w:val="22"/>
          <w:szCs w:val="22"/>
        </w:rPr>
      </w:pPr>
      <w:r>
        <w:rPr>
          <w:iCs/>
          <w:color w:val="auto"/>
          <w:sz w:val="22"/>
          <w:szCs w:val="22"/>
        </w:rPr>
        <w:t xml:space="preserve">                                            </w:t>
      </w:r>
    </w:p>
    <w:p w14:paraId="295FBF24" w14:textId="05C6ACAD" w:rsidR="009C5DE4" w:rsidRDefault="0063793D" w:rsidP="009C5DE4">
      <w:pPr>
        <w:pStyle w:val="Default"/>
        <w:shd w:val="clear" w:color="auto" w:fill="FFFFFF" w:themeFill="background1"/>
        <w:spacing w:line="276" w:lineRule="auto"/>
        <w:ind w:firstLine="720"/>
        <w:jc w:val="both"/>
        <w:outlineLvl w:val="0"/>
        <w:rPr>
          <w:b/>
          <w:sz w:val="28"/>
          <w:szCs w:val="28"/>
        </w:rPr>
      </w:pPr>
      <w:r>
        <w:rPr>
          <w:noProof/>
        </w:rPr>
        <w:drawing>
          <wp:inline distT="0" distB="0" distL="0" distR="0" wp14:anchorId="31DB2132" wp14:editId="3FD9EC49">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0A9C066" w14:textId="6DEEE15F" w:rsidR="00687536" w:rsidRDefault="00687536" w:rsidP="00034E93">
      <w:pPr>
        <w:pStyle w:val="Default"/>
        <w:shd w:val="clear" w:color="auto" w:fill="FFFFFF" w:themeFill="background1"/>
        <w:spacing w:line="276" w:lineRule="auto"/>
        <w:ind w:firstLine="720"/>
        <w:jc w:val="both"/>
        <w:outlineLvl w:val="0"/>
        <w:rPr>
          <w:b/>
          <w:sz w:val="28"/>
          <w:szCs w:val="28"/>
        </w:rPr>
      </w:pPr>
      <w:r>
        <w:rPr>
          <w:b/>
          <w:sz w:val="28"/>
          <w:szCs w:val="28"/>
        </w:rPr>
        <w:t xml:space="preserve">                  </w:t>
      </w:r>
    </w:p>
    <w:p w14:paraId="09ED9209" w14:textId="70B88C98" w:rsidR="00E03B87" w:rsidRPr="00B87766" w:rsidRDefault="00E03B87" w:rsidP="00B87766">
      <w:pPr>
        <w:pStyle w:val="Default"/>
        <w:shd w:val="clear" w:color="auto" w:fill="FFFFFF" w:themeFill="background1"/>
        <w:spacing w:line="276" w:lineRule="auto"/>
        <w:jc w:val="both"/>
        <w:outlineLvl w:val="0"/>
        <w:rPr>
          <w:iCs/>
          <w:color w:val="auto"/>
          <w:sz w:val="22"/>
          <w:szCs w:val="22"/>
        </w:rPr>
      </w:pPr>
      <w:r>
        <w:rPr>
          <w:b/>
          <w:sz w:val="28"/>
          <w:szCs w:val="28"/>
        </w:rPr>
        <w:t>Summary of Activities</w:t>
      </w:r>
    </w:p>
    <w:tbl>
      <w:tblPr>
        <w:tblStyle w:val="TableGrid1"/>
        <w:tblW w:w="11520" w:type="dxa"/>
        <w:tblInd w:w="-1085" w:type="dxa"/>
        <w:tblLayout w:type="fixed"/>
        <w:tblLook w:val="04A0" w:firstRow="1" w:lastRow="0" w:firstColumn="1" w:lastColumn="0" w:noHBand="0" w:noVBand="1"/>
      </w:tblPr>
      <w:tblGrid>
        <w:gridCol w:w="540"/>
        <w:gridCol w:w="1440"/>
        <w:gridCol w:w="9540"/>
      </w:tblGrid>
      <w:tr w:rsidR="00C56245" w:rsidRPr="00706AFD" w14:paraId="148BFF4D" w14:textId="77777777" w:rsidTr="00B87766">
        <w:tc>
          <w:tcPr>
            <w:tcW w:w="1980" w:type="dxa"/>
            <w:gridSpan w:val="2"/>
          </w:tcPr>
          <w:p w14:paraId="0F80396D" w14:textId="41DB880D" w:rsidR="00C56245" w:rsidRPr="00706AFD" w:rsidRDefault="002B3901" w:rsidP="003E602C">
            <w:pPr>
              <w:rPr>
                <w:rFonts w:ascii="Times New Roman" w:hAnsi="Times New Roman" w:cs="Times New Roman"/>
                <w:b/>
                <w:sz w:val="22"/>
              </w:rPr>
            </w:pPr>
            <w:r>
              <w:rPr>
                <w:rFonts w:ascii="Times New Roman" w:hAnsi="Times New Roman" w:cs="Times New Roman"/>
                <w:b/>
                <w:sz w:val="22"/>
              </w:rPr>
              <w:t>High-impact S</w:t>
            </w:r>
            <w:r w:rsidR="00C56245" w:rsidRPr="00706AFD">
              <w:rPr>
                <w:rFonts w:ascii="Times New Roman" w:hAnsi="Times New Roman" w:cs="Times New Roman"/>
                <w:b/>
                <w:sz w:val="22"/>
              </w:rPr>
              <w:t>trategy</w:t>
            </w:r>
            <w:r>
              <w:rPr>
                <w:rFonts w:ascii="Times New Roman" w:hAnsi="Times New Roman" w:cs="Times New Roman"/>
                <w:b/>
                <w:sz w:val="22"/>
              </w:rPr>
              <w:t xml:space="preserve"> #1</w:t>
            </w:r>
          </w:p>
        </w:tc>
        <w:tc>
          <w:tcPr>
            <w:tcW w:w="9540" w:type="dxa"/>
          </w:tcPr>
          <w:p w14:paraId="227F9BE2" w14:textId="2B8CEE99" w:rsidR="00C56245" w:rsidRPr="00706AFD" w:rsidRDefault="00D97FBC" w:rsidP="00EC75A9">
            <w:pPr>
              <w:rPr>
                <w:rFonts w:ascii="Times New Roman" w:hAnsi="Times New Roman" w:cs="Times New Roman"/>
                <w:sz w:val="22"/>
              </w:rPr>
            </w:pPr>
            <w:r>
              <w:rPr>
                <w:rFonts w:ascii="Times New Roman" w:hAnsi="Times New Roman" w:cs="Times New Roman"/>
                <w:b/>
                <w:sz w:val="22"/>
                <w:u w:val="single"/>
              </w:rPr>
              <w:t>Strategy 1.0</w:t>
            </w:r>
            <w:r w:rsidR="00C56245" w:rsidRPr="003D6069">
              <w:rPr>
                <w:rFonts w:ascii="Times New Roman" w:hAnsi="Times New Roman" w:cs="Times New Roman"/>
                <w:b/>
                <w:sz w:val="22"/>
                <w:u w:val="single"/>
              </w:rPr>
              <w:t>:</w:t>
            </w:r>
            <w:r w:rsidR="00C56245" w:rsidRPr="00706AFD">
              <w:rPr>
                <w:rFonts w:ascii="Times New Roman" w:hAnsi="Times New Roman" w:cs="Times New Roman"/>
                <w:sz w:val="22"/>
              </w:rPr>
              <w:t xml:space="preserve"> </w:t>
            </w:r>
            <w:r w:rsidR="003166DC">
              <w:rPr>
                <w:rFonts w:ascii="Times New Roman" w:hAnsi="Times New Roman" w:cs="Times New Roman"/>
                <w:sz w:val="22"/>
              </w:rPr>
              <w:t xml:space="preserve">1-in-3 (one </w:t>
            </w:r>
            <w:r w:rsidR="002B2B43">
              <w:rPr>
                <w:rFonts w:ascii="Times New Roman" w:hAnsi="Times New Roman" w:cs="Times New Roman"/>
                <w:sz w:val="22"/>
              </w:rPr>
              <w:t xml:space="preserve">Associate’s </w:t>
            </w:r>
            <w:r w:rsidR="003166DC">
              <w:rPr>
                <w:rFonts w:ascii="Times New Roman" w:hAnsi="Times New Roman" w:cs="Times New Roman"/>
                <w:sz w:val="22"/>
              </w:rPr>
              <w:t>degree in three years)</w:t>
            </w:r>
            <w:r w:rsidR="00382104">
              <w:rPr>
                <w:rFonts w:ascii="Times New Roman" w:hAnsi="Times New Roman" w:cs="Times New Roman"/>
                <w:sz w:val="22"/>
              </w:rPr>
              <w:t xml:space="preserve"> </w:t>
            </w:r>
            <w:r w:rsidR="003166DC">
              <w:rPr>
                <w:rFonts w:ascii="Times New Roman" w:hAnsi="Times New Roman" w:cs="Times New Roman"/>
                <w:sz w:val="22"/>
              </w:rPr>
              <w:t>provides</w:t>
            </w:r>
            <w:r w:rsidR="00EB724B">
              <w:rPr>
                <w:rFonts w:ascii="Times New Roman" w:hAnsi="Times New Roman" w:cs="Times New Roman"/>
                <w:sz w:val="22"/>
              </w:rPr>
              <w:t xml:space="preserve"> a milestone</w:t>
            </w:r>
            <w:r w:rsidR="003166DC">
              <w:rPr>
                <w:rFonts w:ascii="Times New Roman" w:hAnsi="Times New Roman" w:cs="Times New Roman"/>
                <w:sz w:val="22"/>
              </w:rPr>
              <w:t xml:space="preserve"> and goal-setting</w:t>
            </w:r>
            <w:r>
              <w:rPr>
                <w:rFonts w:ascii="Times New Roman" w:hAnsi="Times New Roman" w:cs="Times New Roman"/>
                <w:sz w:val="22"/>
              </w:rPr>
              <w:t xml:space="preserve"> </w:t>
            </w:r>
            <w:r w:rsidR="00EB724B">
              <w:rPr>
                <w:rFonts w:ascii="Times New Roman" w:hAnsi="Times New Roman" w:cs="Times New Roman"/>
                <w:sz w:val="22"/>
              </w:rPr>
              <w:t>strategy</w:t>
            </w:r>
            <w:r w:rsidR="003166DC">
              <w:rPr>
                <w:rFonts w:ascii="Times New Roman" w:hAnsi="Times New Roman" w:cs="Times New Roman"/>
                <w:sz w:val="22"/>
              </w:rPr>
              <w:t xml:space="preserve"> </w:t>
            </w:r>
            <w:r w:rsidR="00EB724B">
              <w:rPr>
                <w:rFonts w:ascii="Times New Roman" w:hAnsi="Times New Roman" w:cs="Times New Roman"/>
                <w:sz w:val="22"/>
              </w:rPr>
              <w:t xml:space="preserve">for part-time </w:t>
            </w:r>
            <w:r>
              <w:rPr>
                <w:rFonts w:ascii="Times New Roman" w:hAnsi="Times New Roman" w:cs="Times New Roman"/>
                <w:sz w:val="22"/>
              </w:rPr>
              <w:t>students to graduate within 150%</w:t>
            </w:r>
            <w:r w:rsidR="002D0163">
              <w:rPr>
                <w:rFonts w:ascii="Times New Roman" w:hAnsi="Times New Roman" w:cs="Times New Roman"/>
                <w:sz w:val="22"/>
              </w:rPr>
              <w:t xml:space="preserve"> (three years) with an </w:t>
            </w:r>
            <w:r w:rsidR="007A2C09">
              <w:rPr>
                <w:rFonts w:ascii="Times New Roman" w:hAnsi="Times New Roman" w:cs="Times New Roman"/>
                <w:sz w:val="22"/>
              </w:rPr>
              <w:t>Associate’s</w:t>
            </w:r>
            <w:r>
              <w:rPr>
                <w:rFonts w:ascii="Times New Roman" w:hAnsi="Times New Roman" w:cs="Times New Roman"/>
                <w:sz w:val="22"/>
              </w:rPr>
              <w:t xml:space="preserve"> </w:t>
            </w:r>
            <w:r w:rsidR="007A2C09">
              <w:rPr>
                <w:rFonts w:ascii="Times New Roman" w:hAnsi="Times New Roman" w:cs="Times New Roman"/>
                <w:sz w:val="22"/>
              </w:rPr>
              <w:t>degree</w:t>
            </w:r>
          </w:p>
        </w:tc>
      </w:tr>
      <w:tr w:rsidR="00C56245" w:rsidRPr="00706AFD" w14:paraId="07FB20D1" w14:textId="77777777" w:rsidTr="00B87766">
        <w:tc>
          <w:tcPr>
            <w:tcW w:w="1980" w:type="dxa"/>
            <w:gridSpan w:val="2"/>
          </w:tcPr>
          <w:p w14:paraId="59CDEA6A" w14:textId="77777777" w:rsidR="00C56245" w:rsidRPr="00706AFD" w:rsidRDefault="00C56245" w:rsidP="003E602C">
            <w:pPr>
              <w:rPr>
                <w:rFonts w:ascii="Times New Roman" w:hAnsi="Times New Roman" w:cs="Times New Roman"/>
                <w:b/>
                <w:sz w:val="22"/>
              </w:rPr>
            </w:pPr>
            <w:r w:rsidRPr="00706AFD">
              <w:rPr>
                <w:rFonts w:ascii="Times New Roman" w:hAnsi="Times New Roman" w:cs="Times New Roman"/>
                <w:b/>
                <w:sz w:val="22"/>
              </w:rPr>
              <w:t xml:space="preserve">Related Goal </w:t>
            </w:r>
          </w:p>
        </w:tc>
        <w:tc>
          <w:tcPr>
            <w:tcW w:w="9540" w:type="dxa"/>
          </w:tcPr>
          <w:p w14:paraId="5690B1A0" w14:textId="02A0E40C" w:rsidR="00C56245" w:rsidRPr="00706AFD" w:rsidRDefault="00567727" w:rsidP="00CE5016">
            <w:pPr>
              <w:spacing w:line="360" w:lineRule="auto"/>
              <w:rPr>
                <w:rFonts w:ascii="Times New Roman" w:hAnsi="Times New Roman" w:cs="Times New Roman"/>
                <w:sz w:val="22"/>
              </w:rPr>
            </w:pPr>
            <w:r>
              <w:rPr>
                <w:rFonts w:ascii="Times New Roman" w:hAnsi="Times New Roman" w:cs="Times New Roman"/>
                <w:b/>
                <w:sz w:val="22"/>
              </w:rPr>
              <w:t>Goal 1</w:t>
            </w:r>
            <w:r w:rsidR="00C56245" w:rsidRPr="00F964DD">
              <w:rPr>
                <w:rFonts w:ascii="Times New Roman" w:hAnsi="Times New Roman" w:cs="Times New Roman"/>
                <w:b/>
                <w:sz w:val="22"/>
              </w:rPr>
              <w:t>:</w:t>
            </w:r>
            <w:r w:rsidR="00D97FBC">
              <w:rPr>
                <w:rFonts w:ascii="Times New Roman" w:hAnsi="Times New Roman" w:cs="Times New Roman"/>
                <w:sz w:val="22"/>
              </w:rPr>
              <w:t xml:space="preserve"> Ensure student completion within a </w:t>
            </w:r>
            <w:r>
              <w:rPr>
                <w:rFonts w:ascii="Times New Roman" w:hAnsi="Times New Roman" w:cs="Times New Roman"/>
                <w:sz w:val="22"/>
              </w:rPr>
              <w:t>limited</w:t>
            </w:r>
            <w:r w:rsidR="00D97FBC">
              <w:rPr>
                <w:rFonts w:ascii="Times New Roman" w:hAnsi="Times New Roman" w:cs="Times New Roman"/>
                <w:sz w:val="22"/>
              </w:rPr>
              <w:t xml:space="preserve"> timeframe</w:t>
            </w:r>
          </w:p>
        </w:tc>
      </w:tr>
      <w:tr w:rsidR="00C56245" w:rsidRPr="00706AFD" w14:paraId="04F01C53" w14:textId="77777777" w:rsidTr="00B87766">
        <w:tc>
          <w:tcPr>
            <w:tcW w:w="1980" w:type="dxa"/>
            <w:gridSpan w:val="2"/>
          </w:tcPr>
          <w:p w14:paraId="4826B5A9" w14:textId="77777777" w:rsidR="00C56245" w:rsidRPr="00706AFD" w:rsidRDefault="00C56245" w:rsidP="003E602C">
            <w:pPr>
              <w:rPr>
                <w:rFonts w:ascii="Times New Roman" w:hAnsi="Times New Roman" w:cs="Times New Roman"/>
                <w:b/>
                <w:sz w:val="22"/>
              </w:rPr>
            </w:pPr>
            <w:r w:rsidRPr="00706AFD">
              <w:rPr>
                <w:rFonts w:ascii="Times New Roman" w:hAnsi="Times New Roman" w:cs="Times New Roman"/>
                <w:b/>
                <w:sz w:val="22"/>
              </w:rPr>
              <w:t>Demonstration of Priority and/or Impact</w:t>
            </w:r>
          </w:p>
        </w:tc>
        <w:tc>
          <w:tcPr>
            <w:tcW w:w="9540" w:type="dxa"/>
          </w:tcPr>
          <w:p w14:paraId="23111E15" w14:textId="14CFA57E" w:rsidR="00587957" w:rsidRDefault="00D97FBC" w:rsidP="00CC5395">
            <w:pPr>
              <w:contextualSpacing/>
              <w:jc w:val="both"/>
              <w:rPr>
                <w:rFonts w:ascii="Times New Roman" w:hAnsi="Times New Roman" w:cs="Times New Roman"/>
                <w:sz w:val="22"/>
                <w:szCs w:val="22"/>
              </w:rPr>
            </w:pPr>
            <w:r>
              <w:rPr>
                <w:rFonts w:ascii="Times New Roman" w:hAnsi="Times New Roman" w:cs="Times New Roman"/>
                <w:sz w:val="22"/>
                <w:szCs w:val="22"/>
              </w:rPr>
              <w:t xml:space="preserve">AMSC fully embraces </w:t>
            </w:r>
            <w:r w:rsidR="00382104">
              <w:rPr>
                <w:rFonts w:ascii="Times New Roman" w:hAnsi="Times New Roman" w:cs="Times New Roman"/>
                <w:sz w:val="22"/>
                <w:szCs w:val="22"/>
              </w:rPr>
              <w:t>and</w:t>
            </w:r>
            <w:r w:rsidR="00EC75A9">
              <w:rPr>
                <w:rFonts w:ascii="Times New Roman" w:hAnsi="Times New Roman" w:cs="Times New Roman"/>
                <w:sz w:val="22"/>
                <w:szCs w:val="22"/>
              </w:rPr>
              <w:t xml:space="preserve"> advises </w:t>
            </w:r>
            <w:r w:rsidR="002D0163">
              <w:rPr>
                <w:rFonts w:ascii="Times New Roman" w:hAnsi="Times New Roman" w:cs="Times New Roman"/>
                <w:sz w:val="22"/>
                <w:szCs w:val="22"/>
              </w:rPr>
              <w:t xml:space="preserve">its full-time </w:t>
            </w:r>
            <w:r w:rsidR="00EC75A9">
              <w:rPr>
                <w:rFonts w:ascii="Times New Roman" w:hAnsi="Times New Roman" w:cs="Times New Roman"/>
                <w:sz w:val="22"/>
                <w:szCs w:val="22"/>
              </w:rPr>
              <w:t>students to utilize</w:t>
            </w:r>
            <w:r w:rsidR="007215D7">
              <w:rPr>
                <w:rFonts w:ascii="Times New Roman" w:hAnsi="Times New Roman" w:cs="Times New Roman"/>
                <w:sz w:val="22"/>
                <w:szCs w:val="22"/>
              </w:rPr>
              <w:t xml:space="preserve"> the</w:t>
            </w:r>
            <w:r>
              <w:rPr>
                <w:rFonts w:ascii="Times New Roman" w:hAnsi="Times New Roman" w:cs="Times New Roman"/>
                <w:sz w:val="22"/>
                <w:szCs w:val="22"/>
              </w:rPr>
              <w:t xml:space="preserve"> </w:t>
            </w:r>
            <w:r w:rsidR="00382104">
              <w:rPr>
                <w:rFonts w:ascii="Times New Roman" w:hAnsi="Times New Roman" w:cs="Times New Roman"/>
                <w:sz w:val="22"/>
                <w:szCs w:val="22"/>
              </w:rPr>
              <w:t>“</w:t>
            </w:r>
            <w:r>
              <w:rPr>
                <w:rFonts w:ascii="Times New Roman" w:hAnsi="Times New Roman" w:cs="Times New Roman"/>
                <w:sz w:val="22"/>
                <w:szCs w:val="22"/>
              </w:rPr>
              <w:t>15-to-finish</w:t>
            </w:r>
            <w:r w:rsidR="00250BB6">
              <w:rPr>
                <w:rFonts w:ascii="Times New Roman" w:hAnsi="Times New Roman" w:cs="Times New Roman"/>
                <w:sz w:val="22"/>
                <w:szCs w:val="22"/>
              </w:rPr>
              <w:t>” strategy put</w:t>
            </w:r>
            <w:r w:rsidR="00382104">
              <w:rPr>
                <w:rFonts w:ascii="Times New Roman" w:hAnsi="Times New Roman" w:cs="Times New Roman"/>
                <w:sz w:val="22"/>
                <w:szCs w:val="22"/>
              </w:rPr>
              <w:t xml:space="preserve"> forth by Complete America Georgia</w:t>
            </w:r>
            <w:r w:rsidR="007215D7">
              <w:rPr>
                <w:rFonts w:ascii="Times New Roman" w:hAnsi="Times New Roman" w:cs="Times New Roman"/>
                <w:sz w:val="22"/>
                <w:szCs w:val="22"/>
              </w:rPr>
              <w:t xml:space="preserve"> and promoted by the USG.</w:t>
            </w:r>
            <w:r>
              <w:rPr>
                <w:rFonts w:ascii="Times New Roman" w:hAnsi="Times New Roman" w:cs="Times New Roman"/>
                <w:sz w:val="22"/>
                <w:szCs w:val="22"/>
              </w:rPr>
              <w:t xml:space="preserve"> </w:t>
            </w:r>
            <w:r w:rsidR="00EC75A9">
              <w:rPr>
                <w:rFonts w:ascii="Times New Roman" w:hAnsi="Times New Roman" w:cs="Times New Roman"/>
                <w:sz w:val="22"/>
                <w:szCs w:val="22"/>
              </w:rPr>
              <w:t>With the</w:t>
            </w:r>
            <w:r w:rsidR="007215D7">
              <w:rPr>
                <w:rFonts w:ascii="Times New Roman" w:hAnsi="Times New Roman" w:cs="Times New Roman"/>
                <w:sz w:val="22"/>
                <w:szCs w:val="22"/>
              </w:rPr>
              <w:t xml:space="preserve"> “15-to-finish” </w:t>
            </w:r>
            <w:r w:rsidR="00EC75A9">
              <w:rPr>
                <w:rFonts w:ascii="Times New Roman" w:hAnsi="Times New Roman" w:cs="Times New Roman"/>
                <w:sz w:val="22"/>
                <w:szCs w:val="22"/>
              </w:rPr>
              <w:t>strategy, AMSC</w:t>
            </w:r>
            <w:r w:rsidR="007215D7">
              <w:rPr>
                <w:rFonts w:ascii="Times New Roman" w:hAnsi="Times New Roman" w:cs="Times New Roman"/>
                <w:sz w:val="22"/>
                <w:szCs w:val="22"/>
              </w:rPr>
              <w:t xml:space="preserve"> </w:t>
            </w:r>
            <w:r w:rsidR="00EC75A9">
              <w:rPr>
                <w:rFonts w:ascii="Times New Roman" w:hAnsi="Times New Roman" w:cs="Times New Roman"/>
                <w:sz w:val="22"/>
                <w:szCs w:val="22"/>
              </w:rPr>
              <w:t>advises</w:t>
            </w:r>
            <w:r w:rsidR="00382104">
              <w:rPr>
                <w:rFonts w:ascii="Times New Roman" w:hAnsi="Times New Roman" w:cs="Times New Roman"/>
                <w:sz w:val="22"/>
                <w:szCs w:val="22"/>
              </w:rPr>
              <w:t xml:space="preserve"> studen</w:t>
            </w:r>
            <w:r w:rsidR="007215D7">
              <w:rPr>
                <w:rFonts w:ascii="Times New Roman" w:hAnsi="Times New Roman" w:cs="Times New Roman"/>
                <w:sz w:val="22"/>
                <w:szCs w:val="22"/>
              </w:rPr>
              <w:t>ts to register fo</w:t>
            </w:r>
            <w:r w:rsidR="00EC75A9">
              <w:rPr>
                <w:rFonts w:ascii="Times New Roman" w:hAnsi="Times New Roman" w:cs="Times New Roman"/>
                <w:sz w:val="22"/>
                <w:szCs w:val="22"/>
              </w:rPr>
              <w:t xml:space="preserve">r 15 credit </w:t>
            </w:r>
            <w:r w:rsidR="002D0163">
              <w:rPr>
                <w:rFonts w:ascii="Times New Roman" w:hAnsi="Times New Roman" w:cs="Times New Roman"/>
                <w:sz w:val="22"/>
                <w:szCs w:val="22"/>
              </w:rPr>
              <w:t xml:space="preserve">hours </w:t>
            </w:r>
            <w:r w:rsidR="00EC75A9">
              <w:rPr>
                <w:rFonts w:ascii="Times New Roman" w:hAnsi="Times New Roman" w:cs="Times New Roman"/>
                <w:sz w:val="22"/>
                <w:szCs w:val="22"/>
              </w:rPr>
              <w:t>each semester, resulting</w:t>
            </w:r>
            <w:r w:rsidR="002D0163">
              <w:rPr>
                <w:rFonts w:ascii="Times New Roman" w:hAnsi="Times New Roman" w:cs="Times New Roman"/>
                <w:sz w:val="22"/>
                <w:szCs w:val="22"/>
              </w:rPr>
              <w:t xml:space="preserve"> in graduation with the Associate’s</w:t>
            </w:r>
            <w:r w:rsidR="00382104">
              <w:rPr>
                <w:rFonts w:ascii="Times New Roman" w:hAnsi="Times New Roman" w:cs="Times New Roman"/>
                <w:sz w:val="22"/>
                <w:szCs w:val="22"/>
              </w:rPr>
              <w:t xml:space="preserve"> with</w:t>
            </w:r>
            <w:r w:rsidR="007215D7">
              <w:rPr>
                <w:rFonts w:ascii="Times New Roman" w:hAnsi="Times New Roman" w:cs="Times New Roman"/>
                <w:sz w:val="22"/>
                <w:szCs w:val="22"/>
              </w:rPr>
              <w:t>in two years of</w:t>
            </w:r>
            <w:r w:rsidR="00382104">
              <w:rPr>
                <w:rFonts w:ascii="Times New Roman" w:hAnsi="Times New Roman" w:cs="Times New Roman"/>
                <w:sz w:val="22"/>
                <w:szCs w:val="22"/>
              </w:rPr>
              <w:t xml:space="preserve"> matriculation. A load of fifteen (15) credits</w:t>
            </w:r>
            <w:r w:rsidR="00E2097A">
              <w:rPr>
                <w:rFonts w:ascii="Times New Roman" w:hAnsi="Times New Roman" w:cs="Times New Roman"/>
                <w:sz w:val="22"/>
                <w:szCs w:val="22"/>
              </w:rPr>
              <w:t xml:space="preserve"> is the</w:t>
            </w:r>
            <w:r w:rsidR="00382104">
              <w:rPr>
                <w:rFonts w:ascii="Times New Roman" w:hAnsi="Times New Roman" w:cs="Times New Roman"/>
                <w:sz w:val="22"/>
                <w:szCs w:val="22"/>
              </w:rPr>
              <w:t xml:space="preserve"> optimum balance for many students</w:t>
            </w:r>
            <w:r w:rsidR="00E2097A">
              <w:rPr>
                <w:rFonts w:ascii="Times New Roman" w:hAnsi="Times New Roman" w:cs="Times New Roman"/>
                <w:sz w:val="22"/>
                <w:szCs w:val="22"/>
              </w:rPr>
              <w:t xml:space="preserve">, particularly for traditional students who live in campus housing, and have the wherewithal to spend most of their time in </w:t>
            </w:r>
            <w:r w:rsidR="007215D7">
              <w:rPr>
                <w:rFonts w:ascii="Times New Roman" w:hAnsi="Times New Roman" w:cs="Times New Roman"/>
                <w:sz w:val="22"/>
                <w:szCs w:val="22"/>
              </w:rPr>
              <w:t>the campus environment, with essen</w:t>
            </w:r>
            <w:r w:rsidR="002D0163">
              <w:rPr>
                <w:rFonts w:ascii="Times New Roman" w:hAnsi="Times New Roman" w:cs="Times New Roman"/>
                <w:sz w:val="22"/>
                <w:szCs w:val="22"/>
              </w:rPr>
              <w:t>tially a single primary focus and few or no competing interest to</w:t>
            </w:r>
            <w:r w:rsidR="007215D7">
              <w:rPr>
                <w:rFonts w:ascii="Times New Roman" w:hAnsi="Times New Roman" w:cs="Times New Roman"/>
                <w:sz w:val="22"/>
                <w:szCs w:val="22"/>
              </w:rPr>
              <w:t xml:space="preserve"> attaining the degree.</w:t>
            </w:r>
            <w:r w:rsidR="00587957">
              <w:rPr>
                <w:rFonts w:ascii="Times New Roman" w:hAnsi="Times New Roman" w:cs="Times New Roman"/>
                <w:sz w:val="22"/>
                <w:szCs w:val="22"/>
              </w:rPr>
              <w:t xml:space="preserve"> </w:t>
            </w:r>
          </w:p>
          <w:p w14:paraId="26E701F7" w14:textId="77777777" w:rsidR="002D0163" w:rsidRDefault="002D0163" w:rsidP="00CC5395">
            <w:pPr>
              <w:contextualSpacing/>
              <w:jc w:val="both"/>
              <w:rPr>
                <w:rFonts w:ascii="Times New Roman" w:hAnsi="Times New Roman" w:cs="Times New Roman"/>
                <w:sz w:val="22"/>
                <w:szCs w:val="22"/>
              </w:rPr>
            </w:pPr>
          </w:p>
          <w:p w14:paraId="1F570A3B" w14:textId="0F735E2E" w:rsidR="00C56245" w:rsidRDefault="002D0163" w:rsidP="00CC5395">
            <w:pPr>
              <w:contextualSpacing/>
              <w:jc w:val="both"/>
              <w:rPr>
                <w:rFonts w:ascii="Times New Roman" w:hAnsi="Times New Roman" w:cs="Times New Roman"/>
                <w:sz w:val="22"/>
                <w:szCs w:val="22"/>
              </w:rPr>
            </w:pPr>
            <w:r>
              <w:rPr>
                <w:rFonts w:ascii="Times New Roman" w:hAnsi="Times New Roman" w:cs="Times New Roman"/>
                <w:sz w:val="22"/>
                <w:szCs w:val="22"/>
              </w:rPr>
              <w:t xml:space="preserve">The situation is quite different for commuter, part-time students. Most have </w:t>
            </w:r>
            <w:r w:rsidR="00607DAA">
              <w:rPr>
                <w:rFonts w:ascii="Times New Roman" w:hAnsi="Times New Roman" w:cs="Times New Roman"/>
                <w:sz w:val="22"/>
                <w:szCs w:val="22"/>
              </w:rPr>
              <w:t xml:space="preserve">competing interest such as </w:t>
            </w:r>
            <w:r w:rsidR="00EC75A9">
              <w:rPr>
                <w:rFonts w:ascii="Times New Roman" w:hAnsi="Times New Roman" w:cs="Times New Roman"/>
                <w:sz w:val="22"/>
                <w:szCs w:val="22"/>
              </w:rPr>
              <w:t>family and f</w:t>
            </w:r>
            <w:r>
              <w:rPr>
                <w:rFonts w:ascii="Times New Roman" w:hAnsi="Times New Roman" w:cs="Times New Roman"/>
                <w:sz w:val="22"/>
                <w:szCs w:val="22"/>
              </w:rPr>
              <w:t xml:space="preserve">ull-time employment, </w:t>
            </w:r>
            <w:r w:rsidR="00EC75A9">
              <w:rPr>
                <w:rFonts w:ascii="Times New Roman" w:hAnsi="Times New Roman" w:cs="Times New Roman"/>
                <w:sz w:val="22"/>
                <w:szCs w:val="22"/>
              </w:rPr>
              <w:t xml:space="preserve">with </w:t>
            </w:r>
            <w:r>
              <w:rPr>
                <w:rFonts w:ascii="Times New Roman" w:hAnsi="Times New Roman" w:cs="Times New Roman"/>
                <w:sz w:val="22"/>
                <w:szCs w:val="22"/>
              </w:rPr>
              <w:t>additional financial responsibilities.</w:t>
            </w:r>
            <w:r w:rsidR="00EC75A9">
              <w:rPr>
                <w:rFonts w:ascii="Times New Roman" w:hAnsi="Times New Roman" w:cs="Times New Roman"/>
                <w:sz w:val="22"/>
                <w:szCs w:val="22"/>
              </w:rPr>
              <w:t xml:space="preserve"> </w:t>
            </w:r>
            <w:r w:rsidR="004B1FE3">
              <w:rPr>
                <w:rFonts w:ascii="Times New Roman" w:hAnsi="Times New Roman" w:cs="Times New Roman"/>
                <w:sz w:val="22"/>
                <w:szCs w:val="22"/>
              </w:rPr>
              <w:t>For these</w:t>
            </w:r>
            <w:r>
              <w:rPr>
                <w:rFonts w:ascii="Times New Roman" w:hAnsi="Times New Roman" w:cs="Times New Roman"/>
                <w:sz w:val="22"/>
                <w:szCs w:val="22"/>
              </w:rPr>
              <w:t xml:space="preserve"> students, </w:t>
            </w:r>
            <w:r w:rsidR="00587957">
              <w:rPr>
                <w:rFonts w:ascii="Times New Roman" w:hAnsi="Times New Roman" w:cs="Times New Roman"/>
                <w:sz w:val="22"/>
                <w:szCs w:val="22"/>
              </w:rPr>
              <w:t>15-to-finish is</w:t>
            </w:r>
            <w:r w:rsidR="004B1FE3">
              <w:rPr>
                <w:rFonts w:ascii="Times New Roman" w:hAnsi="Times New Roman" w:cs="Times New Roman"/>
                <w:sz w:val="22"/>
                <w:szCs w:val="22"/>
              </w:rPr>
              <w:t xml:space="preserve"> obviously</w:t>
            </w:r>
            <w:r w:rsidR="00587957">
              <w:rPr>
                <w:rFonts w:ascii="Times New Roman" w:hAnsi="Times New Roman" w:cs="Times New Roman"/>
                <w:sz w:val="22"/>
                <w:szCs w:val="22"/>
              </w:rPr>
              <w:t xml:space="preserve"> unfeasible and impractical to </w:t>
            </w:r>
            <w:r w:rsidR="007215D7">
              <w:rPr>
                <w:rFonts w:ascii="Times New Roman" w:hAnsi="Times New Roman" w:cs="Times New Roman"/>
                <w:sz w:val="22"/>
                <w:szCs w:val="22"/>
              </w:rPr>
              <w:t xml:space="preserve">successfully </w:t>
            </w:r>
            <w:r w:rsidR="004B1FE3">
              <w:rPr>
                <w:rFonts w:ascii="Times New Roman" w:hAnsi="Times New Roman" w:cs="Times New Roman"/>
                <w:sz w:val="22"/>
                <w:szCs w:val="22"/>
              </w:rPr>
              <w:t xml:space="preserve">sustain over a two </w:t>
            </w:r>
            <w:r w:rsidR="00587957">
              <w:rPr>
                <w:rFonts w:ascii="Times New Roman" w:hAnsi="Times New Roman" w:cs="Times New Roman"/>
                <w:sz w:val="22"/>
                <w:szCs w:val="22"/>
              </w:rPr>
              <w:t>year period.</w:t>
            </w:r>
            <w:r>
              <w:rPr>
                <w:rFonts w:ascii="Times New Roman" w:hAnsi="Times New Roman" w:cs="Times New Roman"/>
                <w:sz w:val="22"/>
                <w:szCs w:val="22"/>
              </w:rPr>
              <w:t xml:space="preserve"> Nonetheless, milestones</w:t>
            </w:r>
            <w:r w:rsidR="004B1FE3">
              <w:rPr>
                <w:rFonts w:ascii="Times New Roman" w:hAnsi="Times New Roman" w:cs="Times New Roman"/>
                <w:sz w:val="22"/>
                <w:szCs w:val="22"/>
              </w:rPr>
              <w:t xml:space="preserve"> and goal-setting for completion is also important for these students</w:t>
            </w:r>
            <w:r>
              <w:rPr>
                <w:rFonts w:ascii="Times New Roman" w:hAnsi="Times New Roman" w:cs="Times New Roman"/>
                <w:sz w:val="22"/>
                <w:szCs w:val="22"/>
              </w:rPr>
              <w:t xml:space="preserve">. </w:t>
            </w:r>
            <w:r w:rsidR="004B1FE3">
              <w:rPr>
                <w:rFonts w:ascii="Times New Roman" w:hAnsi="Times New Roman" w:cs="Times New Roman"/>
                <w:sz w:val="22"/>
                <w:szCs w:val="22"/>
              </w:rPr>
              <w:t>Thus,</w:t>
            </w:r>
            <w:r w:rsidR="007A2C09">
              <w:rPr>
                <w:rFonts w:ascii="Times New Roman" w:hAnsi="Times New Roman" w:cs="Times New Roman"/>
                <w:sz w:val="22"/>
                <w:szCs w:val="22"/>
              </w:rPr>
              <w:t xml:space="preserve"> “1-in-3”</w:t>
            </w:r>
            <w:r w:rsidR="00607DAA">
              <w:rPr>
                <w:rFonts w:ascii="Times New Roman" w:hAnsi="Times New Roman" w:cs="Times New Roman"/>
                <w:sz w:val="22"/>
                <w:szCs w:val="22"/>
              </w:rPr>
              <w:t xml:space="preserve"> </w:t>
            </w:r>
            <w:r w:rsidR="007A2C09">
              <w:rPr>
                <w:rFonts w:ascii="Times New Roman" w:hAnsi="Times New Roman" w:cs="Times New Roman"/>
                <w:sz w:val="22"/>
                <w:szCs w:val="22"/>
              </w:rPr>
              <w:t xml:space="preserve">provides </w:t>
            </w:r>
            <w:r w:rsidR="004B1FE3">
              <w:rPr>
                <w:rFonts w:ascii="Times New Roman" w:hAnsi="Times New Roman" w:cs="Times New Roman"/>
                <w:sz w:val="22"/>
                <w:szCs w:val="22"/>
              </w:rPr>
              <w:t>a meaningful and achievable alternative, particularly</w:t>
            </w:r>
            <w:r w:rsidR="007A2C09">
              <w:rPr>
                <w:rFonts w:ascii="Times New Roman" w:hAnsi="Times New Roman" w:cs="Times New Roman"/>
                <w:sz w:val="22"/>
                <w:szCs w:val="22"/>
              </w:rPr>
              <w:t xml:space="preserve"> for </w:t>
            </w:r>
            <w:r w:rsidR="004B1FE3">
              <w:rPr>
                <w:rFonts w:ascii="Times New Roman" w:hAnsi="Times New Roman" w:cs="Times New Roman"/>
                <w:sz w:val="22"/>
                <w:szCs w:val="22"/>
              </w:rPr>
              <w:t xml:space="preserve">part-time </w:t>
            </w:r>
            <w:r w:rsidR="007A2C09">
              <w:rPr>
                <w:rFonts w:ascii="Times New Roman" w:hAnsi="Times New Roman" w:cs="Times New Roman"/>
                <w:sz w:val="22"/>
                <w:szCs w:val="22"/>
              </w:rPr>
              <w:t>students who are unable to successfully achieve</w:t>
            </w:r>
            <w:r w:rsidR="004B1FE3">
              <w:rPr>
                <w:rFonts w:ascii="Times New Roman" w:hAnsi="Times New Roman" w:cs="Times New Roman"/>
                <w:sz w:val="22"/>
                <w:szCs w:val="22"/>
              </w:rPr>
              <w:t xml:space="preserve"> the</w:t>
            </w:r>
            <w:r w:rsidR="007A2C09">
              <w:rPr>
                <w:rFonts w:ascii="Times New Roman" w:hAnsi="Times New Roman" w:cs="Times New Roman"/>
                <w:sz w:val="22"/>
                <w:szCs w:val="22"/>
              </w:rPr>
              <w:t xml:space="preserve"> 15-to-finish</w:t>
            </w:r>
            <w:r w:rsidR="004B1FE3">
              <w:rPr>
                <w:rFonts w:ascii="Times New Roman" w:hAnsi="Times New Roman" w:cs="Times New Roman"/>
                <w:sz w:val="22"/>
                <w:szCs w:val="22"/>
              </w:rPr>
              <w:t xml:space="preserve"> goal</w:t>
            </w:r>
            <w:r w:rsidR="007A2C09">
              <w:rPr>
                <w:rFonts w:ascii="Times New Roman" w:hAnsi="Times New Roman" w:cs="Times New Roman"/>
                <w:sz w:val="22"/>
                <w:szCs w:val="22"/>
              </w:rPr>
              <w:t>. “1-in-3”</w:t>
            </w:r>
            <w:r w:rsidR="001922AE">
              <w:rPr>
                <w:rFonts w:ascii="Times New Roman" w:hAnsi="Times New Roman" w:cs="Times New Roman"/>
                <w:sz w:val="22"/>
                <w:szCs w:val="22"/>
              </w:rPr>
              <w:t xml:space="preserve"> challenges all students (part-time and those with other limiting factors) to finish the Assoc</w:t>
            </w:r>
            <w:r w:rsidR="007A2C09">
              <w:rPr>
                <w:rFonts w:ascii="Times New Roman" w:hAnsi="Times New Roman" w:cs="Times New Roman"/>
                <w:sz w:val="22"/>
                <w:szCs w:val="22"/>
              </w:rPr>
              <w:t>iates degree within three years, and the Bachelor’s degree within six years.</w:t>
            </w:r>
            <w:r w:rsidR="001922AE">
              <w:rPr>
                <w:rFonts w:ascii="Times New Roman" w:hAnsi="Times New Roman" w:cs="Times New Roman"/>
                <w:sz w:val="22"/>
                <w:szCs w:val="22"/>
              </w:rPr>
              <w:t xml:space="preserve"> </w:t>
            </w:r>
            <w:r w:rsidR="002D472B">
              <w:rPr>
                <w:rFonts w:ascii="Times New Roman" w:hAnsi="Times New Roman" w:cs="Times New Roman"/>
                <w:sz w:val="22"/>
                <w:szCs w:val="22"/>
              </w:rPr>
              <w:t xml:space="preserve">Atlanta Metro </w:t>
            </w:r>
            <w:r w:rsidR="00164F4D">
              <w:rPr>
                <w:rFonts w:ascii="Times New Roman" w:hAnsi="Times New Roman" w:cs="Times New Roman"/>
                <w:sz w:val="22"/>
                <w:szCs w:val="22"/>
              </w:rPr>
              <w:t>will employ a range of strategies, including academic advising</w:t>
            </w:r>
            <w:r w:rsidR="00CC5395">
              <w:rPr>
                <w:rFonts w:ascii="Times New Roman" w:hAnsi="Times New Roman" w:cs="Times New Roman"/>
                <w:sz w:val="22"/>
                <w:szCs w:val="22"/>
              </w:rPr>
              <w:t>, interventions, and monitoring activities,</w:t>
            </w:r>
            <w:r w:rsidR="00607DAA">
              <w:rPr>
                <w:rFonts w:ascii="Times New Roman" w:hAnsi="Times New Roman" w:cs="Times New Roman"/>
                <w:sz w:val="22"/>
                <w:szCs w:val="22"/>
              </w:rPr>
              <w:t xml:space="preserve"> provided below,</w:t>
            </w:r>
            <w:r w:rsidR="00164F4D">
              <w:rPr>
                <w:rFonts w:ascii="Times New Roman" w:hAnsi="Times New Roman" w:cs="Times New Roman"/>
                <w:sz w:val="22"/>
                <w:szCs w:val="22"/>
              </w:rPr>
              <w:t xml:space="preserve"> </w:t>
            </w:r>
            <w:r w:rsidR="00CC5395">
              <w:rPr>
                <w:rFonts w:ascii="Times New Roman" w:hAnsi="Times New Roman" w:cs="Times New Roman"/>
                <w:sz w:val="22"/>
                <w:szCs w:val="22"/>
              </w:rPr>
              <w:t>to achieve the “1-in 3”</w:t>
            </w:r>
            <w:r w:rsidR="00607DAA">
              <w:rPr>
                <w:rFonts w:ascii="Times New Roman" w:hAnsi="Times New Roman" w:cs="Times New Roman"/>
                <w:sz w:val="22"/>
                <w:szCs w:val="22"/>
              </w:rPr>
              <w:t xml:space="preserve"> objective.</w:t>
            </w:r>
          </w:p>
          <w:p w14:paraId="376E3FCC" w14:textId="77777777" w:rsidR="00164F4D" w:rsidRDefault="00164F4D" w:rsidP="00CC5395">
            <w:pPr>
              <w:contextualSpacing/>
              <w:jc w:val="both"/>
              <w:rPr>
                <w:rFonts w:ascii="Times New Roman" w:hAnsi="Times New Roman" w:cs="Times New Roman"/>
                <w:sz w:val="22"/>
                <w:szCs w:val="22"/>
              </w:rPr>
            </w:pPr>
          </w:p>
          <w:p w14:paraId="69304D93" w14:textId="77777777" w:rsidR="00332312" w:rsidRDefault="00332312" w:rsidP="00587957">
            <w:pPr>
              <w:contextualSpacing/>
              <w:rPr>
                <w:rFonts w:ascii="Times New Roman" w:hAnsi="Times New Roman" w:cs="Times New Roman"/>
                <w:sz w:val="22"/>
                <w:szCs w:val="22"/>
              </w:rPr>
            </w:pPr>
          </w:p>
          <w:p w14:paraId="7516C0D2" w14:textId="04B28D83" w:rsidR="00332312" w:rsidRPr="00D3059B" w:rsidRDefault="00332312" w:rsidP="00363361">
            <w:pPr>
              <w:contextualSpacing/>
              <w:jc w:val="both"/>
              <w:rPr>
                <w:rFonts w:ascii="Times New Roman" w:hAnsi="Times New Roman" w:cs="Times New Roman"/>
                <w:iCs/>
                <w:sz w:val="22"/>
                <w:szCs w:val="22"/>
              </w:rPr>
            </w:pPr>
            <w:r w:rsidRPr="009E45EC">
              <w:rPr>
                <w:rFonts w:ascii="Times New Roman" w:hAnsi="Times New Roman" w:cs="Times New Roman"/>
                <w:b/>
                <w:sz w:val="22"/>
                <w:szCs w:val="22"/>
              </w:rPr>
              <w:t>Impact:</w:t>
            </w:r>
            <w:r>
              <w:rPr>
                <w:rFonts w:ascii="Times New Roman" w:hAnsi="Times New Roman" w:cs="Times New Roman"/>
                <w:sz w:val="22"/>
                <w:szCs w:val="22"/>
              </w:rPr>
              <w:t xml:space="preserve">  55%-60% or a</w:t>
            </w:r>
            <w:r w:rsidR="00164F4D">
              <w:rPr>
                <w:rFonts w:ascii="Times New Roman" w:hAnsi="Times New Roman" w:cs="Times New Roman"/>
                <w:sz w:val="22"/>
                <w:szCs w:val="22"/>
              </w:rPr>
              <w:t>pproximately 1600 AMSC students consistently</w:t>
            </w:r>
            <w:r>
              <w:rPr>
                <w:rFonts w:ascii="Times New Roman" w:hAnsi="Times New Roman" w:cs="Times New Roman"/>
                <w:sz w:val="22"/>
                <w:szCs w:val="22"/>
              </w:rPr>
              <w:t xml:space="preserve"> register part-time status (less than 12 hours)</w:t>
            </w:r>
            <w:r w:rsidR="00164F4D">
              <w:rPr>
                <w:rFonts w:ascii="Times New Roman" w:hAnsi="Times New Roman" w:cs="Times New Roman"/>
                <w:sz w:val="22"/>
                <w:szCs w:val="22"/>
              </w:rPr>
              <w:t xml:space="preserve">. </w:t>
            </w:r>
            <w:r>
              <w:rPr>
                <w:rFonts w:ascii="Times New Roman" w:hAnsi="Times New Roman" w:cs="Times New Roman"/>
                <w:sz w:val="22"/>
                <w:szCs w:val="22"/>
              </w:rPr>
              <w:t xml:space="preserve"> </w:t>
            </w:r>
            <w:r w:rsidR="00363361">
              <w:rPr>
                <w:rFonts w:ascii="Times New Roman" w:hAnsi="Times New Roman" w:cs="Times New Roman"/>
                <w:sz w:val="22"/>
                <w:szCs w:val="22"/>
              </w:rPr>
              <w:t xml:space="preserve">Students who </w:t>
            </w:r>
            <w:r w:rsidR="00962DE8">
              <w:rPr>
                <w:rFonts w:ascii="Times New Roman" w:hAnsi="Times New Roman" w:cs="Times New Roman"/>
                <w:sz w:val="22"/>
                <w:szCs w:val="22"/>
              </w:rPr>
              <w:t>register part-time</w:t>
            </w:r>
            <w:r w:rsidR="00363361">
              <w:rPr>
                <w:rFonts w:ascii="Times New Roman" w:hAnsi="Times New Roman" w:cs="Times New Roman"/>
                <w:sz w:val="22"/>
                <w:szCs w:val="22"/>
              </w:rPr>
              <w:t xml:space="preserve"> regularly</w:t>
            </w:r>
            <w:r w:rsidR="00962DE8">
              <w:rPr>
                <w:rFonts w:ascii="Times New Roman" w:hAnsi="Times New Roman" w:cs="Times New Roman"/>
                <w:sz w:val="22"/>
                <w:szCs w:val="22"/>
              </w:rPr>
              <w:t xml:space="preserve"> graduate at a fraction of</w:t>
            </w:r>
            <w:r w:rsidR="00164F4D">
              <w:rPr>
                <w:rFonts w:ascii="Times New Roman" w:hAnsi="Times New Roman" w:cs="Times New Roman"/>
                <w:sz w:val="22"/>
                <w:szCs w:val="22"/>
              </w:rPr>
              <w:t xml:space="preserve"> </w:t>
            </w:r>
            <w:r w:rsidR="00363361">
              <w:rPr>
                <w:rFonts w:ascii="Times New Roman" w:hAnsi="Times New Roman" w:cs="Times New Roman"/>
                <w:sz w:val="22"/>
                <w:szCs w:val="22"/>
              </w:rPr>
              <w:t xml:space="preserve">the </w:t>
            </w:r>
            <w:r w:rsidR="00164F4D">
              <w:rPr>
                <w:rFonts w:ascii="Times New Roman" w:hAnsi="Times New Roman" w:cs="Times New Roman"/>
                <w:sz w:val="22"/>
                <w:szCs w:val="22"/>
              </w:rPr>
              <w:t>rate when compared to</w:t>
            </w:r>
            <w:r w:rsidR="00363361">
              <w:rPr>
                <w:rFonts w:ascii="Times New Roman" w:hAnsi="Times New Roman" w:cs="Times New Roman"/>
                <w:sz w:val="22"/>
                <w:szCs w:val="22"/>
              </w:rPr>
              <w:t xml:space="preserve"> those who</w:t>
            </w:r>
            <w:r w:rsidR="00164F4D">
              <w:rPr>
                <w:rFonts w:ascii="Times New Roman" w:hAnsi="Times New Roman" w:cs="Times New Roman"/>
                <w:sz w:val="22"/>
                <w:szCs w:val="22"/>
              </w:rPr>
              <w:t xml:space="preserve"> register full-time</w:t>
            </w:r>
            <w:r w:rsidR="00363361">
              <w:rPr>
                <w:rFonts w:ascii="Times New Roman" w:hAnsi="Times New Roman" w:cs="Times New Roman"/>
                <w:sz w:val="22"/>
                <w:szCs w:val="22"/>
              </w:rPr>
              <w:t xml:space="preserve"> on a regular basis</w:t>
            </w:r>
            <w:r w:rsidR="00164F4D">
              <w:rPr>
                <w:rFonts w:ascii="Times New Roman" w:hAnsi="Times New Roman" w:cs="Times New Roman"/>
                <w:sz w:val="22"/>
                <w:szCs w:val="22"/>
              </w:rPr>
              <w:t>. This strategy</w:t>
            </w:r>
            <w:r w:rsidR="00962DE8">
              <w:rPr>
                <w:rFonts w:ascii="Times New Roman" w:hAnsi="Times New Roman" w:cs="Times New Roman"/>
                <w:sz w:val="22"/>
                <w:szCs w:val="22"/>
              </w:rPr>
              <w:t xml:space="preserve"> </w:t>
            </w:r>
            <w:r w:rsidR="00164F4D">
              <w:rPr>
                <w:rFonts w:ascii="Times New Roman" w:hAnsi="Times New Roman" w:cs="Times New Roman"/>
                <w:sz w:val="22"/>
                <w:szCs w:val="22"/>
              </w:rPr>
              <w:t>will reduce</w:t>
            </w:r>
            <w:r w:rsidR="00962DE8">
              <w:rPr>
                <w:rFonts w:ascii="Times New Roman" w:hAnsi="Times New Roman" w:cs="Times New Roman"/>
                <w:sz w:val="22"/>
                <w:szCs w:val="22"/>
              </w:rPr>
              <w:t xml:space="preserve"> the time to completion of part-time stu</w:t>
            </w:r>
            <w:r w:rsidR="00363361">
              <w:rPr>
                <w:rFonts w:ascii="Times New Roman" w:hAnsi="Times New Roman" w:cs="Times New Roman"/>
                <w:sz w:val="22"/>
                <w:szCs w:val="22"/>
              </w:rPr>
              <w:t>dents and is projected</w:t>
            </w:r>
            <w:r w:rsidR="00164F4D">
              <w:rPr>
                <w:rFonts w:ascii="Times New Roman" w:hAnsi="Times New Roman" w:cs="Times New Roman"/>
                <w:sz w:val="22"/>
                <w:szCs w:val="22"/>
              </w:rPr>
              <w:t xml:space="preserve"> to</w:t>
            </w:r>
            <w:r w:rsidR="00962DE8">
              <w:rPr>
                <w:rFonts w:ascii="Times New Roman" w:hAnsi="Times New Roman" w:cs="Times New Roman"/>
                <w:sz w:val="22"/>
                <w:szCs w:val="22"/>
              </w:rPr>
              <w:t xml:space="preserve"> have a significant impact on</w:t>
            </w:r>
            <w:r w:rsidR="00363361">
              <w:rPr>
                <w:rFonts w:ascii="Times New Roman" w:hAnsi="Times New Roman" w:cs="Times New Roman"/>
                <w:sz w:val="22"/>
                <w:szCs w:val="22"/>
              </w:rPr>
              <w:t xml:space="preserve"> the completion of</w:t>
            </w:r>
            <w:r w:rsidR="00962DE8">
              <w:rPr>
                <w:rFonts w:ascii="Times New Roman" w:hAnsi="Times New Roman" w:cs="Times New Roman"/>
                <w:sz w:val="22"/>
                <w:szCs w:val="22"/>
              </w:rPr>
              <w:t xml:space="preserve"> </w:t>
            </w:r>
            <w:r w:rsidR="00164F4D">
              <w:rPr>
                <w:rFonts w:ascii="Times New Roman" w:hAnsi="Times New Roman" w:cs="Times New Roman"/>
                <w:sz w:val="22"/>
                <w:szCs w:val="22"/>
              </w:rPr>
              <w:t xml:space="preserve">part-time </w:t>
            </w:r>
            <w:r w:rsidR="00363361">
              <w:rPr>
                <w:rFonts w:ascii="Times New Roman" w:hAnsi="Times New Roman" w:cs="Times New Roman"/>
                <w:sz w:val="22"/>
                <w:szCs w:val="22"/>
              </w:rPr>
              <w:t>students.</w:t>
            </w:r>
          </w:p>
        </w:tc>
      </w:tr>
      <w:tr w:rsidR="00C56245" w:rsidRPr="00706AFD" w14:paraId="0C2276F6" w14:textId="77777777" w:rsidTr="00B87766">
        <w:tc>
          <w:tcPr>
            <w:tcW w:w="1980" w:type="dxa"/>
            <w:gridSpan w:val="2"/>
          </w:tcPr>
          <w:p w14:paraId="0A7B3C26" w14:textId="47BB32D6" w:rsidR="00C56245" w:rsidRPr="00706AFD" w:rsidRDefault="00C56245" w:rsidP="00546F86">
            <w:pPr>
              <w:rPr>
                <w:rFonts w:ascii="Times New Roman" w:hAnsi="Times New Roman" w:cs="Times New Roman"/>
                <w:b/>
                <w:sz w:val="22"/>
              </w:rPr>
            </w:pPr>
            <w:r w:rsidRPr="00706AFD">
              <w:rPr>
                <w:rFonts w:ascii="Times New Roman" w:hAnsi="Times New Roman" w:cs="Times New Roman"/>
                <w:b/>
                <w:sz w:val="22"/>
              </w:rPr>
              <w:lastRenderedPageBreak/>
              <w:t>Primary Point of Contact</w:t>
            </w:r>
          </w:p>
        </w:tc>
        <w:tc>
          <w:tcPr>
            <w:tcW w:w="9540" w:type="dxa"/>
          </w:tcPr>
          <w:p w14:paraId="6355BD81" w14:textId="0CC3EBB0" w:rsidR="00962DE8" w:rsidRDefault="00962DE8" w:rsidP="00AE282F">
            <w:pPr>
              <w:contextualSpacing/>
              <w:rPr>
                <w:rFonts w:ascii="Times New Roman" w:hAnsi="Times New Roman" w:cs="Times New Roman"/>
                <w:sz w:val="22"/>
                <w:szCs w:val="22"/>
              </w:rPr>
            </w:pPr>
            <w:r>
              <w:rPr>
                <w:rFonts w:ascii="Times New Roman" w:hAnsi="Times New Roman" w:cs="Times New Roman"/>
                <w:sz w:val="22"/>
                <w:szCs w:val="22"/>
              </w:rPr>
              <w:t xml:space="preserve">Name: Sharon R. Duhart </w:t>
            </w:r>
            <w:r w:rsidR="009E45EC">
              <w:rPr>
                <w:rFonts w:ascii="Times New Roman" w:hAnsi="Times New Roman" w:cs="Times New Roman"/>
                <w:sz w:val="22"/>
                <w:szCs w:val="22"/>
              </w:rPr>
              <w:t xml:space="preserve">and Edward Francois </w:t>
            </w:r>
          </w:p>
          <w:p w14:paraId="34FD1D07" w14:textId="741C17B1" w:rsidR="00C56245" w:rsidRPr="00D3059B" w:rsidRDefault="00C56245" w:rsidP="00AE282F">
            <w:pPr>
              <w:contextualSpacing/>
              <w:rPr>
                <w:rFonts w:ascii="Times New Roman" w:hAnsi="Times New Roman" w:cs="Times New Roman"/>
                <w:sz w:val="22"/>
                <w:szCs w:val="22"/>
              </w:rPr>
            </w:pPr>
            <w:r w:rsidRPr="00D3059B">
              <w:rPr>
                <w:rFonts w:ascii="Times New Roman" w:hAnsi="Times New Roman" w:cs="Times New Roman"/>
                <w:sz w:val="22"/>
                <w:szCs w:val="22"/>
              </w:rPr>
              <w:t>Titl</w:t>
            </w:r>
            <w:r w:rsidR="00567727">
              <w:rPr>
                <w:rFonts w:ascii="Times New Roman" w:hAnsi="Times New Roman" w:cs="Times New Roman"/>
                <w:sz w:val="22"/>
                <w:szCs w:val="22"/>
              </w:rPr>
              <w:t xml:space="preserve">e:   Director for </w:t>
            </w:r>
            <w:r w:rsidRPr="00D3059B">
              <w:rPr>
                <w:rFonts w:ascii="Times New Roman" w:hAnsi="Times New Roman" w:cs="Times New Roman"/>
                <w:sz w:val="22"/>
                <w:szCs w:val="22"/>
              </w:rPr>
              <w:t>Academic Advising</w:t>
            </w:r>
            <w:r w:rsidR="00962DE8">
              <w:rPr>
                <w:rFonts w:ascii="Times New Roman" w:hAnsi="Times New Roman" w:cs="Times New Roman"/>
                <w:sz w:val="22"/>
                <w:szCs w:val="22"/>
              </w:rPr>
              <w:t xml:space="preserve"> and Success</w:t>
            </w:r>
            <w:r w:rsidR="009E45EC">
              <w:rPr>
                <w:rFonts w:ascii="Times New Roman" w:hAnsi="Times New Roman" w:cs="Times New Roman"/>
                <w:sz w:val="22"/>
                <w:szCs w:val="22"/>
              </w:rPr>
              <w:t xml:space="preserve"> and Director of Analytics and Student Retention </w:t>
            </w:r>
          </w:p>
          <w:p w14:paraId="1890F562" w14:textId="74C5E240" w:rsidR="00C56245" w:rsidRPr="00EE1624" w:rsidRDefault="00C56245" w:rsidP="00EE1624">
            <w:pPr>
              <w:contextualSpacing/>
              <w:rPr>
                <w:rFonts w:ascii="Times New Roman" w:hAnsi="Times New Roman" w:cs="Times New Roman"/>
                <w:sz w:val="22"/>
                <w:szCs w:val="22"/>
              </w:rPr>
            </w:pPr>
            <w:r w:rsidRPr="00D3059B">
              <w:rPr>
                <w:rFonts w:ascii="Times New Roman" w:hAnsi="Times New Roman" w:cs="Times New Roman"/>
                <w:sz w:val="22"/>
                <w:szCs w:val="22"/>
              </w:rPr>
              <w:t xml:space="preserve">Email: </w:t>
            </w:r>
            <w:hyperlink r:id="rId10" w:history="1">
              <w:r w:rsidRPr="00D3059B">
                <w:rPr>
                  <w:rStyle w:val="Hyperlink"/>
                  <w:rFonts w:ascii="Times New Roman" w:hAnsi="Times New Roman" w:cs="Times New Roman"/>
                  <w:sz w:val="22"/>
                  <w:szCs w:val="22"/>
                </w:rPr>
                <w:t>sduhart@atlm.edu</w:t>
              </w:r>
            </w:hyperlink>
            <w:r w:rsidR="009E45EC">
              <w:rPr>
                <w:rStyle w:val="Hyperlink"/>
                <w:rFonts w:ascii="Times New Roman" w:hAnsi="Times New Roman" w:cs="Times New Roman"/>
                <w:sz w:val="22"/>
                <w:szCs w:val="22"/>
              </w:rPr>
              <w:t xml:space="preserve"> and efrancois@atlm.edu</w:t>
            </w:r>
          </w:p>
        </w:tc>
      </w:tr>
      <w:tr w:rsidR="00C56245" w:rsidRPr="00706AFD" w14:paraId="6350351F" w14:textId="77777777" w:rsidTr="00B87766">
        <w:tc>
          <w:tcPr>
            <w:tcW w:w="1980" w:type="dxa"/>
            <w:gridSpan w:val="2"/>
          </w:tcPr>
          <w:p w14:paraId="213A8459" w14:textId="6B53D8E6" w:rsidR="00C56245" w:rsidRPr="00706AFD" w:rsidRDefault="00C56245" w:rsidP="00546F86">
            <w:pPr>
              <w:rPr>
                <w:rFonts w:ascii="Times New Roman" w:hAnsi="Times New Roman" w:cs="Times New Roman"/>
                <w:b/>
                <w:sz w:val="22"/>
              </w:rPr>
            </w:pPr>
            <w:r w:rsidRPr="00706AFD">
              <w:rPr>
                <w:rFonts w:ascii="Times New Roman" w:hAnsi="Times New Roman" w:cs="Times New Roman"/>
                <w:b/>
                <w:sz w:val="22"/>
              </w:rPr>
              <w:t>Summary of Activities</w:t>
            </w:r>
          </w:p>
        </w:tc>
        <w:tc>
          <w:tcPr>
            <w:tcW w:w="9540" w:type="dxa"/>
          </w:tcPr>
          <w:p w14:paraId="02F66570" w14:textId="2887B0DB" w:rsidR="00567727" w:rsidRPr="00567727" w:rsidRDefault="00D94D81" w:rsidP="00EE1624">
            <w:pPr>
              <w:pStyle w:val="Default"/>
              <w:jc w:val="both"/>
              <w:rPr>
                <w:b/>
                <w:sz w:val="22"/>
                <w:szCs w:val="22"/>
              </w:rPr>
            </w:pPr>
            <w:r>
              <w:rPr>
                <w:b/>
                <w:sz w:val="22"/>
                <w:szCs w:val="22"/>
              </w:rPr>
              <w:t xml:space="preserve">Activities to Support the “1-in-3” </w:t>
            </w:r>
            <w:r w:rsidR="00456584">
              <w:rPr>
                <w:b/>
                <w:sz w:val="22"/>
                <w:szCs w:val="22"/>
              </w:rPr>
              <w:t>Strategy</w:t>
            </w:r>
          </w:p>
          <w:p w14:paraId="6EEA5F1E" w14:textId="77777777" w:rsidR="00567727" w:rsidRDefault="00567727" w:rsidP="00EE1624">
            <w:pPr>
              <w:pStyle w:val="Default"/>
              <w:jc w:val="both"/>
              <w:rPr>
                <w:sz w:val="22"/>
                <w:szCs w:val="22"/>
              </w:rPr>
            </w:pPr>
          </w:p>
          <w:p w14:paraId="304FECE6" w14:textId="164D238D" w:rsidR="00567727" w:rsidRDefault="00D94D81" w:rsidP="00EE1624">
            <w:pPr>
              <w:pStyle w:val="Default"/>
              <w:jc w:val="both"/>
              <w:rPr>
                <w:sz w:val="22"/>
                <w:szCs w:val="22"/>
              </w:rPr>
            </w:pPr>
            <w:r>
              <w:rPr>
                <w:sz w:val="22"/>
                <w:szCs w:val="22"/>
              </w:rPr>
              <w:t xml:space="preserve">To meet completion targets, </w:t>
            </w:r>
            <w:r w:rsidR="00D22A17">
              <w:rPr>
                <w:sz w:val="22"/>
                <w:szCs w:val="22"/>
              </w:rPr>
              <w:t xml:space="preserve">all </w:t>
            </w:r>
            <w:r w:rsidR="00751A1E">
              <w:rPr>
                <w:sz w:val="22"/>
                <w:szCs w:val="22"/>
              </w:rPr>
              <w:t>students</w:t>
            </w:r>
            <w:r w:rsidR="00D22A17">
              <w:rPr>
                <w:sz w:val="22"/>
                <w:szCs w:val="22"/>
              </w:rPr>
              <w:t>, including those who register part-time,</w:t>
            </w:r>
            <w:r w:rsidR="00751A1E">
              <w:rPr>
                <w:sz w:val="22"/>
                <w:szCs w:val="22"/>
              </w:rPr>
              <w:t xml:space="preserve"> need milestones</w:t>
            </w:r>
            <w:r w:rsidR="00250BB6">
              <w:rPr>
                <w:sz w:val="22"/>
                <w:szCs w:val="22"/>
              </w:rPr>
              <w:t xml:space="preserve"> and access options</w:t>
            </w:r>
            <w:r w:rsidR="00751A1E">
              <w:rPr>
                <w:sz w:val="22"/>
                <w:szCs w:val="22"/>
              </w:rPr>
              <w:t>. S</w:t>
            </w:r>
            <w:r w:rsidR="00722EF0">
              <w:rPr>
                <w:sz w:val="22"/>
                <w:szCs w:val="22"/>
              </w:rPr>
              <w:t>tudents who take less than 15 credits per semester must either make up</w:t>
            </w:r>
            <w:r>
              <w:rPr>
                <w:sz w:val="22"/>
                <w:szCs w:val="22"/>
              </w:rPr>
              <w:t xml:space="preserve"> those hours during summer terms</w:t>
            </w:r>
            <w:r w:rsidR="00722EF0">
              <w:rPr>
                <w:sz w:val="22"/>
                <w:szCs w:val="22"/>
              </w:rPr>
              <w:t xml:space="preserve"> or have alternative access to courses that are compatible with the</w:t>
            </w:r>
            <w:r w:rsidR="00975AC1">
              <w:rPr>
                <w:sz w:val="22"/>
                <w:szCs w:val="22"/>
              </w:rPr>
              <w:t>ir</w:t>
            </w:r>
            <w:r w:rsidR="00722EF0">
              <w:rPr>
                <w:sz w:val="22"/>
                <w:szCs w:val="22"/>
              </w:rPr>
              <w:t xml:space="preserve"> work, family, and other responsibilities that compete directly with thei</w:t>
            </w:r>
            <w:r>
              <w:rPr>
                <w:sz w:val="22"/>
                <w:szCs w:val="22"/>
              </w:rPr>
              <w:t>r course scheduling</w:t>
            </w:r>
            <w:r w:rsidR="00722EF0">
              <w:rPr>
                <w:sz w:val="22"/>
                <w:szCs w:val="22"/>
              </w:rPr>
              <w:t xml:space="preserve">.  </w:t>
            </w:r>
            <w:r w:rsidR="00456584">
              <w:rPr>
                <w:sz w:val="22"/>
                <w:szCs w:val="22"/>
              </w:rPr>
              <w:t>Therefore</w:t>
            </w:r>
            <w:r w:rsidR="0095558E">
              <w:rPr>
                <w:sz w:val="22"/>
                <w:szCs w:val="22"/>
              </w:rPr>
              <w:t>,</w:t>
            </w:r>
            <w:r w:rsidR="00456584">
              <w:rPr>
                <w:sz w:val="22"/>
                <w:szCs w:val="22"/>
              </w:rPr>
              <w:t xml:space="preserve"> the College has implemented the following </w:t>
            </w:r>
            <w:r w:rsidR="0095558E">
              <w:rPr>
                <w:sz w:val="22"/>
                <w:szCs w:val="22"/>
              </w:rPr>
              <w:t xml:space="preserve">activities </w:t>
            </w:r>
            <w:r>
              <w:rPr>
                <w:sz w:val="22"/>
                <w:szCs w:val="22"/>
              </w:rPr>
              <w:t>to accommodate the “1-in-3”</w:t>
            </w:r>
            <w:r w:rsidR="00456584">
              <w:rPr>
                <w:sz w:val="22"/>
                <w:szCs w:val="22"/>
              </w:rPr>
              <w:t xml:space="preserve"> strategy:</w:t>
            </w:r>
          </w:p>
          <w:p w14:paraId="479EC14E" w14:textId="77777777" w:rsidR="00456584" w:rsidRDefault="00456584" w:rsidP="00EE1624">
            <w:pPr>
              <w:pStyle w:val="Default"/>
              <w:jc w:val="both"/>
              <w:rPr>
                <w:sz w:val="22"/>
                <w:szCs w:val="22"/>
              </w:rPr>
            </w:pPr>
            <w:r>
              <w:rPr>
                <w:sz w:val="22"/>
                <w:szCs w:val="22"/>
              </w:rPr>
              <w:t xml:space="preserve"> </w:t>
            </w:r>
          </w:p>
          <w:p w14:paraId="5B9C8C66" w14:textId="3DC0BAA7" w:rsidR="00456584" w:rsidRDefault="00456584" w:rsidP="00EE1624">
            <w:pPr>
              <w:pStyle w:val="Default"/>
              <w:jc w:val="both"/>
              <w:rPr>
                <w:sz w:val="22"/>
                <w:szCs w:val="22"/>
              </w:rPr>
            </w:pPr>
            <w:r>
              <w:rPr>
                <w:sz w:val="22"/>
                <w:szCs w:val="22"/>
              </w:rPr>
              <w:t xml:space="preserve">(1) </w:t>
            </w:r>
            <w:r w:rsidR="00BB1BB0">
              <w:rPr>
                <w:sz w:val="22"/>
                <w:szCs w:val="22"/>
              </w:rPr>
              <w:t>Provide i</w:t>
            </w:r>
            <w:r>
              <w:rPr>
                <w:sz w:val="22"/>
                <w:szCs w:val="22"/>
              </w:rPr>
              <w:t>ntrusive advising, that aggressively promotes, strongly encourages, and guides students to follow alternative</w:t>
            </w:r>
            <w:r w:rsidR="0050404B">
              <w:rPr>
                <w:sz w:val="22"/>
                <w:szCs w:val="22"/>
              </w:rPr>
              <w:t>, and newly designed</w:t>
            </w:r>
            <w:r>
              <w:rPr>
                <w:sz w:val="22"/>
                <w:szCs w:val="22"/>
              </w:rPr>
              <w:t xml:space="preserve"> program path</w:t>
            </w:r>
            <w:r w:rsidR="0095558E">
              <w:rPr>
                <w:sz w:val="22"/>
                <w:szCs w:val="22"/>
              </w:rPr>
              <w:t>way maps that provide</w:t>
            </w:r>
            <w:r>
              <w:rPr>
                <w:sz w:val="22"/>
                <w:szCs w:val="22"/>
              </w:rPr>
              <w:t xml:space="preserve"> 3-year pathway</w:t>
            </w:r>
            <w:r w:rsidR="0095558E">
              <w:rPr>
                <w:sz w:val="22"/>
                <w:szCs w:val="22"/>
              </w:rPr>
              <w:t>s</w:t>
            </w:r>
            <w:r>
              <w:rPr>
                <w:sz w:val="22"/>
                <w:szCs w:val="22"/>
              </w:rPr>
              <w:t xml:space="preserve"> to graduation, which include</w:t>
            </w:r>
            <w:r w:rsidR="00BB1BB0">
              <w:rPr>
                <w:sz w:val="22"/>
                <w:szCs w:val="22"/>
              </w:rPr>
              <w:t xml:space="preserve"> summer course schedules</w:t>
            </w:r>
            <w:r w:rsidR="0095558E">
              <w:rPr>
                <w:sz w:val="22"/>
                <w:szCs w:val="22"/>
              </w:rPr>
              <w:t xml:space="preserve"> and expectation of attendance</w:t>
            </w:r>
            <w:r w:rsidR="00CE5016">
              <w:rPr>
                <w:sz w:val="22"/>
                <w:szCs w:val="22"/>
              </w:rPr>
              <w:t xml:space="preserve">. </w:t>
            </w:r>
            <w:r w:rsidR="00BB1BB0">
              <w:rPr>
                <w:sz w:val="22"/>
                <w:szCs w:val="22"/>
              </w:rPr>
              <w:t>To achieve the “1-in-3”</w:t>
            </w:r>
            <w:r w:rsidR="00215CE7">
              <w:rPr>
                <w:sz w:val="22"/>
                <w:szCs w:val="22"/>
              </w:rPr>
              <w:t xml:space="preserve"> goal, p</w:t>
            </w:r>
            <w:r w:rsidR="00BB1BB0">
              <w:rPr>
                <w:sz w:val="22"/>
                <w:szCs w:val="22"/>
              </w:rPr>
              <w:t xml:space="preserve">art-time students </w:t>
            </w:r>
            <w:r w:rsidR="0095558E">
              <w:rPr>
                <w:sz w:val="22"/>
                <w:szCs w:val="22"/>
              </w:rPr>
              <w:t xml:space="preserve">must </w:t>
            </w:r>
            <w:r w:rsidR="00BB1BB0">
              <w:rPr>
                <w:sz w:val="22"/>
                <w:szCs w:val="22"/>
              </w:rPr>
              <w:t>register</w:t>
            </w:r>
            <w:r w:rsidR="00215CE7">
              <w:rPr>
                <w:sz w:val="22"/>
                <w:szCs w:val="22"/>
              </w:rPr>
              <w:t xml:space="preserve"> an average of 10 credits per semest</w:t>
            </w:r>
            <w:r w:rsidR="00BB1BB0">
              <w:rPr>
                <w:sz w:val="22"/>
                <w:szCs w:val="22"/>
              </w:rPr>
              <w:t xml:space="preserve">er, and full-time students </w:t>
            </w:r>
            <w:r w:rsidR="00215CE7">
              <w:rPr>
                <w:sz w:val="22"/>
                <w:szCs w:val="22"/>
              </w:rPr>
              <w:t xml:space="preserve">12-13 hours </w:t>
            </w:r>
            <w:r w:rsidR="0095558E">
              <w:rPr>
                <w:sz w:val="22"/>
                <w:szCs w:val="22"/>
              </w:rPr>
              <w:t xml:space="preserve">per semester. The overall goal for full-time students, however, is to move </w:t>
            </w:r>
            <w:r w:rsidR="00BB1BB0">
              <w:rPr>
                <w:sz w:val="22"/>
                <w:szCs w:val="22"/>
              </w:rPr>
              <w:t>the</w:t>
            </w:r>
            <w:r w:rsidR="0095558E">
              <w:rPr>
                <w:sz w:val="22"/>
                <w:szCs w:val="22"/>
              </w:rPr>
              <w:t>m to the 15-to-f</w:t>
            </w:r>
            <w:r w:rsidR="00BB1BB0">
              <w:rPr>
                <w:sz w:val="22"/>
                <w:szCs w:val="22"/>
              </w:rPr>
              <w:t>inish strategy.</w:t>
            </w:r>
          </w:p>
          <w:p w14:paraId="136F0371" w14:textId="3A65F62B" w:rsidR="00456584" w:rsidRDefault="00456584" w:rsidP="00EE1624">
            <w:pPr>
              <w:pStyle w:val="Default"/>
              <w:jc w:val="both"/>
              <w:rPr>
                <w:sz w:val="22"/>
                <w:szCs w:val="22"/>
              </w:rPr>
            </w:pPr>
            <w:r>
              <w:rPr>
                <w:sz w:val="22"/>
                <w:szCs w:val="22"/>
              </w:rPr>
              <w:t xml:space="preserve">(2) </w:t>
            </w:r>
            <w:r w:rsidR="00BB1BB0">
              <w:rPr>
                <w:sz w:val="22"/>
                <w:szCs w:val="22"/>
              </w:rPr>
              <w:t xml:space="preserve">Utilize analytics, </w:t>
            </w:r>
            <w:r w:rsidR="009A0488">
              <w:rPr>
                <w:sz w:val="22"/>
                <w:szCs w:val="22"/>
              </w:rPr>
              <w:t xml:space="preserve">for integrating </w:t>
            </w:r>
            <w:r>
              <w:rPr>
                <w:sz w:val="22"/>
                <w:szCs w:val="22"/>
              </w:rPr>
              <w:t>student maps</w:t>
            </w:r>
            <w:r w:rsidR="009A0488">
              <w:rPr>
                <w:sz w:val="22"/>
                <w:szCs w:val="22"/>
              </w:rPr>
              <w:t xml:space="preserve">, </w:t>
            </w:r>
            <w:r>
              <w:rPr>
                <w:sz w:val="22"/>
                <w:szCs w:val="22"/>
              </w:rPr>
              <w:t xml:space="preserve">advising data, </w:t>
            </w:r>
            <w:r w:rsidR="0095558E">
              <w:rPr>
                <w:sz w:val="22"/>
                <w:szCs w:val="22"/>
              </w:rPr>
              <w:t xml:space="preserve">course selection/demands, </w:t>
            </w:r>
            <w:r>
              <w:rPr>
                <w:sz w:val="22"/>
                <w:szCs w:val="22"/>
              </w:rPr>
              <w:t xml:space="preserve">and </w:t>
            </w:r>
            <w:r w:rsidR="009A0488">
              <w:rPr>
                <w:sz w:val="22"/>
                <w:szCs w:val="22"/>
              </w:rPr>
              <w:t>hi</w:t>
            </w:r>
            <w:r w:rsidR="00BB1BB0">
              <w:rPr>
                <w:sz w:val="22"/>
                <w:szCs w:val="22"/>
              </w:rPr>
              <w:t>stor</w:t>
            </w:r>
            <w:r w:rsidR="0095558E">
              <w:rPr>
                <w:sz w:val="22"/>
                <w:szCs w:val="22"/>
              </w:rPr>
              <w:t>ical registration patterns</w:t>
            </w:r>
            <w:r>
              <w:rPr>
                <w:sz w:val="22"/>
                <w:szCs w:val="22"/>
              </w:rPr>
              <w:t xml:space="preserve"> to ensure </w:t>
            </w:r>
            <w:r w:rsidR="0050404B">
              <w:rPr>
                <w:sz w:val="22"/>
                <w:szCs w:val="22"/>
              </w:rPr>
              <w:t xml:space="preserve">students have </w:t>
            </w:r>
            <w:r w:rsidR="0095558E">
              <w:rPr>
                <w:sz w:val="22"/>
                <w:szCs w:val="22"/>
              </w:rPr>
              <w:t>the on-time, courses</w:t>
            </w:r>
            <w:r w:rsidR="00FE313D">
              <w:rPr>
                <w:sz w:val="22"/>
                <w:szCs w:val="22"/>
              </w:rPr>
              <w:t xml:space="preserve"> (campus and online)</w:t>
            </w:r>
            <w:r w:rsidR="0095558E">
              <w:rPr>
                <w:sz w:val="22"/>
                <w:szCs w:val="22"/>
              </w:rPr>
              <w:t xml:space="preserve"> they need, while also maximizing the resources allocation</w:t>
            </w:r>
            <w:r w:rsidR="00BB1BB0">
              <w:rPr>
                <w:sz w:val="22"/>
                <w:szCs w:val="22"/>
              </w:rPr>
              <w:t xml:space="preserve"> </w:t>
            </w:r>
            <w:r w:rsidR="0095558E">
              <w:rPr>
                <w:sz w:val="22"/>
                <w:szCs w:val="22"/>
              </w:rPr>
              <w:t>of the College. Atlanta Metro</w:t>
            </w:r>
            <w:r w:rsidR="00BB1BB0">
              <w:rPr>
                <w:sz w:val="22"/>
                <w:szCs w:val="22"/>
              </w:rPr>
              <w:t xml:space="preserve"> tags this strategy as “Smart Scheduling”, which will</w:t>
            </w:r>
            <w:r w:rsidR="0095558E">
              <w:rPr>
                <w:sz w:val="22"/>
                <w:szCs w:val="22"/>
              </w:rPr>
              <w:t xml:space="preserve"> be implemented in the 2017-18 </w:t>
            </w:r>
            <w:r w:rsidR="00BB1BB0">
              <w:rPr>
                <w:sz w:val="22"/>
                <w:szCs w:val="22"/>
              </w:rPr>
              <w:t>academic year.</w:t>
            </w:r>
          </w:p>
          <w:p w14:paraId="357D89F7" w14:textId="523FDBE9" w:rsidR="00567727" w:rsidRDefault="000D7332" w:rsidP="00EE1624">
            <w:pPr>
              <w:pStyle w:val="Default"/>
              <w:jc w:val="both"/>
              <w:rPr>
                <w:sz w:val="22"/>
                <w:szCs w:val="22"/>
              </w:rPr>
            </w:pPr>
            <w:r>
              <w:rPr>
                <w:sz w:val="22"/>
                <w:szCs w:val="22"/>
              </w:rPr>
              <w:t xml:space="preserve"> (3</w:t>
            </w:r>
            <w:r w:rsidR="00BB1BB0">
              <w:rPr>
                <w:sz w:val="22"/>
                <w:szCs w:val="22"/>
              </w:rPr>
              <w:t>) Monitor off-track students</w:t>
            </w:r>
            <w:r w:rsidR="00215CE7">
              <w:rPr>
                <w:sz w:val="22"/>
                <w:szCs w:val="22"/>
              </w:rPr>
              <w:t xml:space="preserve"> and</w:t>
            </w:r>
            <w:r w:rsidR="0095558E">
              <w:rPr>
                <w:sz w:val="22"/>
                <w:szCs w:val="22"/>
              </w:rPr>
              <w:t xml:space="preserve"> provide</w:t>
            </w:r>
            <w:r w:rsidR="00FE313D">
              <w:rPr>
                <w:sz w:val="22"/>
                <w:szCs w:val="22"/>
              </w:rPr>
              <w:t xml:space="preserve"> them immediate “Early Alert” intervention strategies that put them back-on-t</w:t>
            </w:r>
            <w:r w:rsidR="00BB1BB0">
              <w:rPr>
                <w:sz w:val="22"/>
                <w:szCs w:val="22"/>
              </w:rPr>
              <w:t>rack to graduation</w:t>
            </w:r>
          </w:p>
          <w:p w14:paraId="38F327F2" w14:textId="2F244D6B" w:rsidR="00983B31" w:rsidRPr="00D3059B" w:rsidRDefault="000D7332" w:rsidP="00EE1624">
            <w:pPr>
              <w:pStyle w:val="Default"/>
              <w:jc w:val="both"/>
              <w:rPr>
                <w:sz w:val="22"/>
                <w:szCs w:val="22"/>
              </w:rPr>
            </w:pPr>
            <w:r>
              <w:rPr>
                <w:sz w:val="22"/>
                <w:szCs w:val="22"/>
              </w:rPr>
              <w:t>(4</w:t>
            </w:r>
            <w:r w:rsidR="00BB1BB0">
              <w:rPr>
                <w:sz w:val="22"/>
                <w:szCs w:val="22"/>
              </w:rPr>
              <w:t>) Monitor</w:t>
            </w:r>
            <w:r w:rsidR="00983B31">
              <w:rPr>
                <w:sz w:val="22"/>
                <w:szCs w:val="22"/>
              </w:rPr>
              <w:t xml:space="preserve"> and</w:t>
            </w:r>
            <w:r w:rsidR="00BB1BB0">
              <w:rPr>
                <w:sz w:val="22"/>
                <w:szCs w:val="22"/>
              </w:rPr>
              <w:t xml:space="preserve"> provide</w:t>
            </w:r>
            <w:r w:rsidR="00983B31">
              <w:rPr>
                <w:sz w:val="22"/>
                <w:szCs w:val="22"/>
              </w:rPr>
              <w:t xml:space="preserve"> </w:t>
            </w:r>
            <w:r w:rsidR="00BB1BB0">
              <w:rPr>
                <w:sz w:val="22"/>
                <w:szCs w:val="22"/>
              </w:rPr>
              <w:t xml:space="preserve">interventions to increase the earned/attempted credit hour ratio. </w:t>
            </w:r>
            <w:r w:rsidR="00862107">
              <w:rPr>
                <w:sz w:val="22"/>
                <w:szCs w:val="22"/>
              </w:rPr>
              <w:t>Increase</w:t>
            </w:r>
            <w:r w:rsidR="00BB1BB0">
              <w:rPr>
                <w:sz w:val="22"/>
                <w:szCs w:val="22"/>
              </w:rPr>
              <w:t>s</w:t>
            </w:r>
            <w:r w:rsidR="00862107">
              <w:rPr>
                <w:sz w:val="22"/>
                <w:szCs w:val="22"/>
              </w:rPr>
              <w:t xml:space="preserve"> in earned/attempted hours will </w:t>
            </w:r>
            <w:r w:rsidR="00BB1BB0">
              <w:rPr>
                <w:sz w:val="22"/>
                <w:szCs w:val="22"/>
              </w:rPr>
              <w:t xml:space="preserve">have a significant impact on student </w:t>
            </w:r>
            <w:r w:rsidR="00862107">
              <w:rPr>
                <w:sz w:val="22"/>
                <w:szCs w:val="22"/>
              </w:rPr>
              <w:t>completion</w:t>
            </w:r>
            <w:r w:rsidR="00BB1BB0">
              <w:rPr>
                <w:sz w:val="22"/>
                <w:szCs w:val="22"/>
              </w:rPr>
              <w:t>.</w:t>
            </w:r>
            <w:r w:rsidR="00862107">
              <w:rPr>
                <w:sz w:val="22"/>
                <w:szCs w:val="22"/>
              </w:rPr>
              <w:t xml:space="preserve"> </w:t>
            </w:r>
          </w:p>
        </w:tc>
      </w:tr>
      <w:tr w:rsidR="00C56245" w:rsidRPr="00706AFD" w14:paraId="1FA29232" w14:textId="77777777" w:rsidTr="00B87766">
        <w:trPr>
          <w:trHeight w:val="377"/>
        </w:trPr>
        <w:tc>
          <w:tcPr>
            <w:tcW w:w="11520" w:type="dxa"/>
            <w:gridSpan w:val="3"/>
          </w:tcPr>
          <w:p w14:paraId="09960723" w14:textId="1FC31839" w:rsidR="00C56245" w:rsidRDefault="00C56245" w:rsidP="00881DBE">
            <w:pPr>
              <w:rPr>
                <w:rFonts w:ascii="Times New Roman" w:hAnsi="Times New Roman" w:cs="Times New Roman"/>
                <w:b/>
                <w:sz w:val="22"/>
                <w:szCs w:val="22"/>
              </w:rPr>
            </w:pPr>
            <w:r w:rsidRPr="00D3059B">
              <w:rPr>
                <w:rFonts w:ascii="Times New Roman" w:hAnsi="Times New Roman" w:cs="Times New Roman"/>
                <w:b/>
                <w:sz w:val="22"/>
                <w:szCs w:val="22"/>
              </w:rPr>
              <w:t>Me</w:t>
            </w:r>
            <w:r w:rsidR="00556AED">
              <w:rPr>
                <w:rFonts w:ascii="Times New Roman" w:hAnsi="Times New Roman" w:cs="Times New Roman"/>
                <w:b/>
                <w:sz w:val="22"/>
                <w:szCs w:val="22"/>
              </w:rPr>
              <w:t xml:space="preserve">asures of Progress and Success </w:t>
            </w:r>
          </w:p>
          <w:p w14:paraId="4A28F096" w14:textId="306ABB09" w:rsidR="00456584" w:rsidRPr="00881DBE" w:rsidRDefault="00456584" w:rsidP="00881DBE">
            <w:pPr>
              <w:rPr>
                <w:rFonts w:ascii="Times New Roman" w:hAnsi="Times New Roman" w:cs="Times New Roman"/>
                <w:sz w:val="22"/>
                <w:szCs w:val="22"/>
              </w:rPr>
            </w:pPr>
          </w:p>
        </w:tc>
      </w:tr>
      <w:tr w:rsidR="00C56245" w:rsidRPr="00706AFD" w14:paraId="4E9C2E5B" w14:textId="77777777" w:rsidTr="00B87766">
        <w:tc>
          <w:tcPr>
            <w:tcW w:w="1980" w:type="dxa"/>
            <w:gridSpan w:val="2"/>
          </w:tcPr>
          <w:p w14:paraId="3ACF4AA0" w14:textId="77777777" w:rsidR="00C56245" w:rsidRPr="00706AFD" w:rsidRDefault="00C56245" w:rsidP="00556AED">
            <w:pPr>
              <w:rPr>
                <w:rFonts w:ascii="Times New Roman" w:hAnsi="Times New Roman" w:cs="Times New Roman"/>
                <w:b/>
                <w:sz w:val="22"/>
              </w:rPr>
            </w:pPr>
            <w:r w:rsidRPr="00706AFD">
              <w:rPr>
                <w:rFonts w:ascii="Times New Roman" w:hAnsi="Times New Roman" w:cs="Times New Roman"/>
                <w:b/>
                <w:sz w:val="22"/>
              </w:rPr>
              <w:t>Measure, metric, or data element</w:t>
            </w:r>
          </w:p>
        </w:tc>
        <w:tc>
          <w:tcPr>
            <w:tcW w:w="9540" w:type="dxa"/>
          </w:tcPr>
          <w:p w14:paraId="5BF12EC5" w14:textId="01C2D9E3" w:rsidR="00C56245" w:rsidRPr="00D3059B" w:rsidRDefault="00C56245" w:rsidP="00CE5016">
            <w:pPr>
              <w:spacing w:line="360" w:lineRule="auto"/>
              <w:contextualSpacing/>
              <w:rPr>
                <w:rFonts w:ascii="Times New Roman" w:hAnsi="Times New Roman" w:cs="Times New Roman"/>
                <w:sz w:val="22"/>
                <w:szCs w:val="22"/>
              </w:rPr>
            </w:pPr>
          </w:p>
        </w:tc>
      </w:tr>
      <w:tr w:rsidR="00C56245" w:rsidRPr="00706AFD" w14:paraId="22E95903" w14:textId="77777777" w:rsidTr="00B87766">
        <w:tc>
          <w:tcPr>
            <w:tcW w:w="540" w:type="dxa"/>
            <w:vMerge w:val="restart"/>
          </w:tcPr>
          <w:p w14:paraId="58AB3D63" w14:textId="77777777" w:rsidR="00C56245" w:rsidRPr="00706AFD" w:rsidRDefault="00C56245" w:rsidP="00CE5016">
            <w:pPr>
              <w:spacing w:line="360" w:lineRule="auto"/>
              <w:rPr>
                <w:rFonts w:ascii="Times New Roman" w:hAnsi="Times New Roman" w:cs="Times New Roman"/>
                <w:b/>
                <w:sz w:val="22"/>
              </w:rPr>
            </w:pPr>
          </w:p>
        </w:tc>
        <w:tc>
          <w:tcPr>
            <w:tcW w:w="1440" w:type="dxa"/>
          </w:tcPr>
          <w:p w14:paraId="3C5EE11F" w14:textId="77777777" w:rsidR="00C56245" w:rsidRPr="00706AFD" w:rsidRDefault="00C56245" w:rsidP="00C12100">
            <w:pPr>
              <w:rPr>
                <w:rFonts w:ascii="Times New Roman" w:hAnsi="Times New Roman" w:cs="Times New Roman"/>
                <w:b/>
                <w:sz w:val="22"/>
              </w:rPr>
            </w:pPr>
            <w:r w:rsidRPr="00706AFD">
              <w:rPr>
                <w:rFonts w:ascii="Times New Roman" w:hAnsi="Times New Roman" w:cs="Times New Roman"/>
                <w:b/>
                <w:sz w:val="22"/>
              </w:rPr>
              <w:t>Baseline measures</w:t>
            </w:r>
          </w:p>
        </w:tc>
        <w:tc>
          <w:tcPr>
            <w:tcW w:w="9540" w:type="dxa"/>
          </w:tcPr>
          <w:p w14:paraId="27940FE1" w14:textId="2C55BE5D" w:rsidR="00EE1FB6" w:rsidRPr="00EB1B85" w:rsidRDefault="00EE1FB6" w:rsidP="00EE1FB6">
            <w:pPr>
              <w:contextualSpacing/>
              <w:rPr>
                <w:rFonts w:ascii="Times New Roman" w:hAnsi="Times New Roman" w:cs="Times New Roman"/>
                <w:b/>
                <w:color w:val="FF0000"/>
                <w:sz w:val="22"/>
                <w:szCs w:val="22"/>
              </w:rPr>
            </w:pPr>
            <w:r>
              <w:rPr>
                <w:rFonts w:ascii="Times New Roman" w:hAnsi="Times New Roman" w:cs="Times New Roman"/>
                <w:b/>
                <w:color w:val="FF0000"/>
                <w:sz w:val="22"/>
                <w:szCs w:val="22"/>
              </w:rPr>
              <w:t>Fall 2015</w:t>
            </w:r>
          </w:p>
          <w:p w14:paraId="7631E794" w14:textId="77777777" w:rsidR="00EE1FB6" w:rsidRPr="00862107" w:rsidRDefault="00EE1FB6" w:rsidP="00EE1FB6">
            <w:pPr>
              <w:contextualSpacing/>
              <w:rPr>
                <w:rFonts w:ascii="Times New Roman" w:hAnsi="Times New Roman" w:cs="Times New Roman"/>
                <w:b/>
                <w:sz w:val="22"/>
                <w:szCs w:val="22"/>
              </w:rPr>
            </w:pPr>
            <w:r>
              <w:rPr>
                <w:rFonts w:ascii="Times New Roman" w:hAnsi="Times New Roman" w:cs="Times New Roman"/>
                <w:b/>
                <w:sz w:val="22"/>
                <w:szCs w:val="22"/>
              </w:rPr>
              <w:t xml:space="preserve">Average Registered Hours: </w:t>
            </w:r>
          </w:p>
          <w:p w14:paraId="738E057C" w14:textId="61344D62" w:rsidR="00EE1FB6" w:rsidRDefault="00EE1FB6" w:rsidP="00EE1FB6">
            <w:pPr>
              <w:contextualSpacing/>
              <w:rPr>
                <w:rFonts w:ascii="Times New Roman" w:hAnsi="Times New Roman" w:cs="Times New Roman"/>
                <w:sz w:val="22"/>
                <w:szCs w:val="22"/>
              </w:rPr>
            </w:pPr>
            <w:r>
              <w:rPr>
                <w:rFonts w:ascii="Times New Roman" w:hAnsi="Times New Roman" w:cs="Times New Roman"/>
                <w:sz w:val="22"/>
                <w:szCs w:val="22"/>
              </w:rPr>
              <w:t>13.4 Credit Hours</w:t>
            </w:r>
            <w:r w:rsidR="00EE33DA">
              <w:rPr>
                <w:rFonts w:ascii="Times New Roman" w:hAnsi="Times New Roman" w:cs="Times New Roman"/>
                <w:sz w:val="22"/>
                <w:szCs w:val="22"/>
              </w:rPr>
              <w:t xml:space="preserve"> (Full-time</w:t>
            </w:r>
            <w:r w:rsidR="004A0BD6">
              <w:rPr>
                <w:rFonts w:ascii="Times New Roman" w:hAnsi="Times New Roman" w:cs="Times New Roman"/>
                <w:sz w:val="22"/>
                <w:szCs w:val="22"/>
              </w:rPr>
              <w:t xml:space="preserve"> Students</w:t>
            </w:r>
            <w:r w:rsidR="00EE33DA">
              <w:rPr>
                <w:rFonts w:ascii="Times New Roman" w:hAnsi="Times New Roman" w:cs="Times New Roman"/>
                <w:sz w:val="22"/>
                <w:szCs w:val="22"/>
              </w:rPr>
              <w:t>)</w:t>
            </w:r>
          </w:p>
          <w:p w14:paraId="2A755578" w14:textId="10268ED8" w:rsidR="00EE1FB6" w:rsidRDefault="003C7DC9" w:rsidP="00EE1FB6">
            <w:pPr>
              <w:contextualSpacing/>
              <w:rPr>
                <w:rFonts w:ascii="Times New Roman" w:hAnsi="Times New Roman" w:cs="Times New Roman"/>
                <w:sz w:val="22"/>
                <w:szCs w:val="22"/>
              </w:rPr>
            </w:pPr>
            <w:r>
              <w:rPr>
                <w:rFonts w:ascii="Times New Roman" w:hAnsi="Times New Roman" w:cs="Times New Roman"/>
                <w:sz w:val="22"/>
                <w:szCs w:val="22"/>
              </w:rPr>
              <w:t>7.4 Credit Hours (Part-time Students)</w:t>
            </w:r>
          </w:p>
          <w:p w14:paraId="725C93F7" w14:textId="77777777" w:rsidR="00EE1FB6" w:rsidRDefault="00EE1FB6" w:rsidP="00EE1FB6">
            <w:pPr>
              <w:contextualSpacing/>
              <w:rPr>
                <w:rFonts w:ascii="Times New Roman" w:hAnsi="Times New Roman" w:cs="Times New Roman"/>
                <w:b/>
                <w:sz w:val="22"/>
                <w:szCs w:val="22"/>
              </w:rPr>
            </w:pPr>
            <w:r w:rsidRPr="00862107">
              <w:rPr>
                <w:rFonts w:ascii="Times New Roman" w:hAnsi="Times New Roman" w:cs="Times New Roman"/>
                <w:b/>
                <w:sz w:val="22"/>
                <w:szCs w:val="22"/>
              </w:rPr>
              <w:t>Average Earned/Attempted Hours</w:t>
            </w:r>
            <w:r>
              <w:rPr>
                <w:rFonts w:ascii="Times New Roman" w:hAnsi="Times New Roman" w:cs="Times New Roman"/>
                <w:b/>
                <w:sz w:val="22"/>
                <w:szCs w:val="22"/>
              </w:rPr>
              <w:t>:</w:t>
            </w:r>
          </w:p>
          <w:p w14:paraId="64A54D7C" w14:textId="2147A794" w:rsidR="00EE1FB6" w:rsidRPr="0019660C" w:rsidRDefault="00EE1FB6" w:rsidP="00EE1FB6">
            <w:pPr>
              <w:contextualSpacing/>
              <w:rPr>
                <w:rFonts w:ascii="Times New Roman" w:hAnsi="Times New Roman" w:cs="Times New Roman"/>
                <w:sz w:val="22"/>
                <w:szCs w:val="22"/>
              </w:rPr>
            </w:pPr>
            <w:r w:rsidRPr="0019660C">
              <w:rPr>
                <w:rFonts w:ascii="Times New Roman" w:hAnsi="Times New Roman" w:cs="Times New Roman"/>
                <w:sz w:val="22"/>
                <w:szCs w:val="22"/>
              </w:rPr>
              <w:t>79.1%</w:t>
            </w:r>
            <w:r w:rsidR="00751994">
              <w:rPr>
                <w:rFonts w:ascii="Times New Roman" w:hAnsi="Times New Roman" w:cs="Times New Roman"/>
                <w:sz w:val="22"/>
                <w:szCs w:val="22"/>
              </w:rPr>
              <w:t xml:space="preserve"> (Full-time Students)</w:t>
            </w:r>
          </w:p>
          <w:p w14:paraId="4ED02A08" w14:textId="388476C6" w:rsidR="00862107" w:rsidRPr="00EE1624" w:rsidRDefault="00751994" w:rsidP="00EE1FB6">
            <w:pPr>
              <w:contextualSpacing/>
              <w:rPr>
                <w:rFonts w:ascii="Times New Roman" w:hAnsi="Times New Roman" w:cs="Times New Roman"/>
                <w:sz w:val="22"/>
                <w:szCs w:val="22"/>
              </w:rPr>
            </w:pPr>
            <w:r>
              <w:rPr>
                <w:rFonts w:ascii="Times New Roman" w:hAnsi="Times New Roman" w:cs="Times New Roman"/>
                <w:sz w:val="22"/>
                <w:szCs w:val="22"/>
              </w:rPr>
              <w:t>72.4 (Part-time Students)</w:t>
            </w:r>
          </w:p>
        </w:tc>
      </w:tr>
      <w:tr w:rsidR="00C56245" w:rsidRPr="00706AFD" w14:paraId="35C92633" w14:textId="77777777" w:rsidTr="00B87766">
        <w:tc>
          <w:tcPr>
            <w:tcW w:w="540" w:type="dxa"/>
            <w:vMerge/>
          </w:tcPr>
          <w:p w14:paraId="6D089557" w14:textId="49B6CCA3" w:rsidR="00C56245" w:rsidRPr="00706AFD" w:rsidRDefault="00C56245" w:rsidP="00CE5016">
            <w:pPr>
              <w:spacing w:line="360" w:lineRule="auto"/>
              <w:rPr>
                <w:rFonts w:ascii="Times New Roman" w:hAnsi="Times New Roman" w:cs="Times New Roman"/>
                <w:b/>
                <w:sz w:val="22"/>
              </w:rPr>
            </w:pPr>
          </w:p>
        </w:tc>
        <w:tc>
          <w:tcPr>
            <w:tcW w:w="1440" w:type="dxa"/>
          </w:tcPr>
          <w:p w14:paraId="7D560EDB" w14:textId="77777777" w:rsidR="00C56245" w:rsidRPr="00706AFD" w:rsidRDefault="00C56245" w:rsidP="00C12100">
            <w:pPr>
              <w:rPr>
                <w:rFonts w:ascii="Times New Roman" w:hAnsi="Times New Roman" w:cs="Times New Roman"/>
                <w:b/>
                <w:sz w:val="22"/>
              </w:rPr>
            </w:pPr>
            <w:r w:rsidRPr="00706AFD">
              <w:rPr>
                <w:rFonts w:ascii="Times New Roman" w:hAnsi="Times New Roman" w:cs="Times New Roman"/>
                <w:b/>
                <w:sz w:val="22"/>
              </w:rPr>
              <w:t>Interim Measures of Progress</w:t>
            </w:r>
          </w:p>
        </w:tc>
        <w:tc>
          <w:tcPr>
            <w:tcW w:w="9540" w:type="dxa"/>
          </w:tcPr>
          <w:p w14:paraId="1CBA1215" w14:textId="555F656B" w:rsidR="00EE1FB6" w:rsidRPr="00EB1B85" w:rsidRDefault="00EE1FB6" w:rsidP="00EE1FB6">
            <w:pPr>
              <w:contextualSpacing/>
              <w:rPr>
                <w:rFonts w:ascii="Times New Roman" w:hAnsi="Times New Roman" w:cs="Times New Roman"/>
                <w:b/>
                <w:color w:val="FF0000"/>
                <w:sz w:val="22"/>
                <w:szCs w:val="22"/>
              </w:rPr>
            </w:pPr>
            <w:r w:rsidRPr="00EB1B85">
              <w:rPr>
                <w:rFonts w:ascii="Times New Roman" w:hAnsi="Times New Roman" w:cs="Times New Roman"/>
                <w:b/>
                <w:color w:val="FF0000"/>
                <w:sz w:val="22"/>
                <w:szCs w:val="22"/>
              </w:rPr>
              <w:t>Fall 2016</w:t>
            </w:r>
          </w:p>
          <w:p w14:paraId="18F43852" w14:textId="77777777" w:rsidR="004970AC" w:rsidRDefault="00EE1FB6" w:rsidP="00EE1FB6">
            <w:pPr>
              <w:contextualSpacing/>
              <w:rPr>
                <w:rFonts w:ascii="Times New Roman" w:hAnsi="Times New Roman" w:cs="Times New Roman"/>
                <w:b/>
                <w:sz w:val="22"/>
                <w:szCs w:val="22"/>
              </w:rPr>
            </w:pPr>
            <w:r>
              <w:rPr>
                <w:rFonts w:ascii="Times New Roman" w:hAnsi="Times New Roman" w:cs="Times New Roman"/>
                <w:b/>
                <w:sz w:val="22"/>
                <w:szCs w:val="22"/>
              </w:rPr>
              <w:t xml:space="preserve">Average Registered Hours: </w:t>
            </w:r>
          </w:p>
          <w:p w14:paraId="256234DF" w14:textId="1482F104" w:rsidR="00EE1FB6" w:rsidRPr="004970AC" w:rsidRDefault="004970AC" w:rsidP="00EE1FB6">
            <w:pPr>
              <w:contextualSpacing/>
              <w:rPr>
                <w:rFonts w:ascii="Times New Roman" w:hAnsi="Times New Roman" w:cs="Times New Roman"/>
                <w:b/>
                <w:sz w:val="22"/>
                <w:szCs w:val="22"/>
              </w:rPr>
            </w:pPr>
            <w:r w:rsidRPr="00BC7651">
              <w:rPr>
                <w:rFonts w:ascii="Times New Roman" w:hAnsi="Times New Roman" w:cs="Times New Roman"/>
                <w:sz w:val="22"/>
                <w:szCs w:val="22"/>
              </w:rPr>
              <w:t>1</w:t>
            </w:r>
            <w:r w:rsidR="00EE1FB6">
              <w:rPr>
                <w:rFonts w:ascii="Times New Roman" w:hAnsi="Times New Roman" w:cs="Times New Roman"/>
                <w:sz w:val="22"/>
                <w:szCs w:val="22"/>
              </w:rPr>
              <w:t>3.5 Credit Hours</w:t>
            </w:r>
            <w:r>
              <w:rPr>
                <w:rFonts w:ascii="Times New Roman" w:hAnsi="Times New Roman" w:cs="Times New Roman"/>
                <w:sz w:val="22"/>
                <w:szCs w:val="22"/>
              </w:rPr>
              <w:t xml:space="preserve"> (Full-time Students)</w:t>
            </w:r>
          </w:p>
          <w:p w14:paraId="43930E67" w14:textId="0B565637" w:rsidR="00EE1FB6" w:rsidRDefault="00BC7651" w:rsidP="00EE1FB6">
            <w:pPr>
              <w:contextualSpacing/>
              <w:rPr>
                <w:rFonts w:ascii="Times New Roman" w:hAnsi="Times New Roman" w:cs="Times New Roman"/>
                <w:sz w:val="22"/>
                <w:szCs w:val="22"/>
              </w:rPr>
            </w:pPr>
            <w:r>
              <w:rPr>
                <w:rFonts w:ascii="Times New Roman" w:hAnsi="Times New Roman" w:cs="Times New Roman"/>
                <w:sz w:val="22"/>
                <w:szCs w:val="22"/>
              </w:rPr>
              <w:t>7.3 Credit Hours (Part-time Students)</w:t>
            </w:r>
            <w:r w:rsidR="00EE1FB6" w:rsidRPr="00EE1624">
              <w:rPr>
                <w:rFonts w:ascii="Times New Roman" w:hAnsi="Times New Roman" w:cs="Times New Roman"/>
                <w:sz w:val="22"/>
                <w:szCs w:val="22"/>
              </w:rPr>
              <w:t xml:space="preserve"> </w:t>
            </w:r>
          </w:p>
          <w:p w14:paraId="7B9C5284" w14:textId="77777777" w:rsidR="00EE1FB6" w:rsidRDefault="00EE1FB6" w:rsidP="00EE1FB6">
            <w:pPr>
              <w:contextualSpacing/>
              <w:rPr>
                <w:rFonts w:ascii="Times New Roman" w:hAnsi="Times New Roman" w:cs="Times New Roman"/>
                <w:b/>
                <w:sz w:val="22"/>
                <w:szCs w:val="22"/>
              </w:rPr>
            </w:pPr>
            <w:r w:rsidRPr="00862107">
              <w:rPr>
                <w:rFonts w:ascii="Times New Roman" w:hAnsi="Times New Roman" w:cs="Times New Roman"/>
                <w:b/>
                <w:sz w:val="22"/>
                <w:szCs w:val="22"/>
              </w:rPr>
              <w:t>Average Earned/Attempted Hours</w:t>
            </w:r>
            <w:r>
              <w:rPr>
                <w:rFonts w:ascii="Times New Roman" w:hAnsi="Times New Roman" w:cs="Times New Roman"/>
                <w:b/>
                <w:sz w:val="22"/>
                <w:szCs w:val="22"/>
              </w:rPr>
              <w:t>:</w:t>
            </w:r>
          </w:p>
          <w:p w14:paraId="37168EA2" w14:textId="555B458E" w:rsidR="00EE1FB6" w:rsidRPr="0019660C" w:rsidRDefault="00BC7651" w:rsidP="00EE1FB6">
            <w:pPr>
              <w:contextualSpacing/>
              <w:rPr>
                <w:rFonts w:ascii="Times New Roman" w:hAnsi="Times New Roman" w:cs="Times New Roman"/>
                <w:sz w:val="22"/>
                <w:szCs w:val="22"/>
              </w:rPr>
            </w:pPr>
            <w:r>
              <w:rPr>
                <w:rFonts w:ascii="Times New Roman" w:hAnsi="Times New Roman" w:cs="Times New Roman"/>
                <w:sz w:val="22"/>
                <w:szCs w:val="22"/>
              </w:rPr>
              <w:t>75.1 (Full-time Students)</w:t>
            </w:r>
          </w:p>
          <w:p w14:paraId="5049AEF1" w14:textId="13254856" w:rsidR="00957C25" w:rsidRPr="00A04CBA" w:rsidRDefault="00BC7651" w:rsidP="00EE1FB6">
            <w:pPr>
              <w:contextualSpacing/>
              <w:rPr>
                <w:rFonts w:ascii="Times New Roman" w:hAnsi="Times New Roman" w:cs="Times New Roman"/>
                <w:sz w:val="22"/>
                <w:szCs w:val="22"/>
              </w:rPr>
            </w:pPr>
            <w:r>
              <w:rPr>
                <w:rFonts w:ascii="Times New Roman" w:hAnsi="Times New Roman" w:cs="Times New Roman"/>
                <w:sz w:val="22"/>
                <w:szCs w:val="22"/>
              </w:rPr>
              <w:t>70.1 (Part-time Students)</w:t>
            </w:r>
          </w:p>
        </w:tc>
      </w:tr>
      <w:tr w:rsidR="00C56245" w:rsidRPr="00706AFD" w14:paraId="7F488FD2" w14:textId="77777777" w:rsidTr="00B87766">
        <w:tc>
          <w:tcPr>
            <w:tcW w:w="540" w:type="dxa"/>
            <w:vMerge/>
          </w:tcPr>
          <w:p w14:paraId="00CB336B" w14:textId="77777777" w:rsidR="00C56245" w:rsidRPr="00706AFD" w:rsidRDefault="00C56245" w:rsidP="00CE5016">
            <w:pPr>
              <w:spacing w:line="360" w:lineRule="auto"/>
              <w:rPr>
                <w:rFonts w:ascii="Times New Roman" w:hAnsi="Times New Roman" w:cs="Times New Roman"/>
                <w:b/>
                <w:sz w:val="22"/>
              </w:rPr>
            </w:pPr>
          </w:p>
        </w:tc>
        <w:tc>
          <w:tcPr>
            <w:tcW w:w="1440" w:type="dxa"/>
          </w:tcPr>
          <w:p w14:paraId="0E804EE4" w14:textId="77777777" w:rsidR="00C56245" w:rsidRPr="00706AFD" w:rsidRDefault="00C56245" w:rsidP="00C12100">
            <w:pPr>
              <w:rPr>
                <w:rFonts w:ascii="Times New Roman" w:hAnsi="Times New Roman" w:cs="Times New Roman"/>
                <w:b/>
                <w:sz w:val="22"/>
              </w:rPr>
            </w:pPr>
            <w:r w:rsidRPr="00706AFD">
              <w:rPr>
                <w:rFonts w:ascii="Times New Roman" w:hAnsi="Times New Roman" w:cs="Times New Roman"/>
                <w:b/>
                <w:sz w:val="22"/>
              </w:rPr>
              <w:t>Measures of Success</w:t>
            </w:r>
          </w:p>
        </w:tc>
        <w:tc>
          <w:tcPr>
            <w:tcW w:w="9540" w:type="dxa"/>
          </w:tcPr>
          <w:p w14:paraId="1854BE45" w14:textId="69699DE9" w:rsidR="00CB2362" w:rsidRDefault="00CB2362" w:rsidP="00EE1FB6">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 xml:space="preserve">Annual Target: </w:t>
            </w:r>
            <w:r w:rsidRPr="00180A1C">
              <w:rPr>
                <w:rFonts w:ascii="Times New Roman" w:hAnsi="Times New Roman" w:cs="Times New Roman"/>
                <w:color w:val="000000" w:themeColor="text1"/>
                <w:sz w:val="22"/>
                <w:szCs w:val="22"/>
              </w:rPr>
              <w:t>Two percent (2%) increase in average registered</w:t>
            </w:r>
            <w:r w:rsidR="00180A1C">
              <w:rPr>
                <w:rFonts w:ascii="Times New Roman" w:hAnsi="Times New Roman" w:cs="Times New Roman"/>
                <w:color w:val="000000" w:themeColor="text1"/>
                <w:sz w:val="22"/>
                <w:szCs w:val="22"/>
              </w:rPr>
              <w:t xml:space="preserve"> hours and earned/attempt ratio</w:t>
            </w:r>
            <w:r w:rsidRPr="00180A1C">
              <w:rPr>
                <w:rFonts w:ascii="Times New Roman" w:hAnsi="Times New Roman" w:cs="Times New Roman"/>
                <w:b/>
                <w:color w:val="000000" w:themeColor="text1"/>
                <w:sz w:val="22"/>
                <w:szCs w:val="22"/>
              </w:rPr>
              <w:t xml:space="preserve">   </w:t>
            </w:r>
          </w:p>
          <w:p w14:paraId="6960D0A9" w14:textId="400C935B" w:rsidR="00957C25" w:rsidRPr="00957C25" w:rsidRDefault="00C12100" w:rsidP="00EE1FB6">
            <w:pPr>
              <w:rPr>
                <w:rFonts w:ascii="Times New Roman" w:hAnsi="Times New Roman" w:cs="Times New Roman"/>
                <w:b/>
                <w:sz w:val="22"/>
                <w:szCs w:val="22"/>
              </w:rPr>
            </w:pPr>
            <w:r>
              <w:rPr>
                <w:rFonts w:ascii="Times New Roman" w:hAnsi="Times New Roman" w:cs="Times New Roman"/>
                <w:b/>
                <w:color w:val="000000" w:themeColor="text1"/>
                <w:sz w:val="22"/>
                <w:szCs w:val="22"/>
              </w:rPr>
              <w:t>2025 Targets</w:t>
            </w:r>
            <w:r w:rsidR="00CB2362">
              <w:rPr>
                <w:rFonts w:ascii="Times New Roman" w:hAnsi="Times New Roman" w:cs="Times New Roman"/>
                <w:b/>
                <w:color w:val="000000" w:themeColor="text1"/>
                <w:sz w:val="22"/>
                <w:szCs w:val="22"/>
              </w:rPr>
              <w:t>:</w:t>
            </w:r>
            <w:r w:rsidR="00EE1FB6">
              <w:rPr>
                <w:rFonts w:ascii="Times New Roman" w:hAnsi="Times New Roman" w:cs="Times New Roman"/>
                <w:b/>
                <w:sz w:val="22"/>
                <w:szCs w:val="22"/>
              </w:rPr>
              <w:t xml:space="preserve"> </w:t>
            </w:r>
          </w:p>
          <w:p w14:paraId="0E0B3619" w14:textId="126FD906" w:rsidR="00EE1FB6" w:rsidRDefault="00A2490D" w:rsidP="00EE1FB6">
            <w:pPr>
              <w:contextualSpacing/>
              <w:rPr>
                <w:rFonts w:ascii="Times New Roman" w:hAnsi="Times New Roman" w:cs="Times New Roman"/>
                <w:sz w:val="22"/>
                <w:szCs w:val="22"/>
              </w:rPr>
            </w:pPr>
            <w:r>
              <w:rPr>
                <w:rFonts w:ascii="Times New Roman" w:hAnsi="Times New Roman" w:cs="Times New Roman"/>
                <w:sz w:val="22"/>
                <w:szCs w:val="22"/>
              </w:rPr>
              <w:t>15</w:t>
            </w:r>
            <w:r w:rsidR="00EE1FB6">
              <w:rPr>
                <w:rFonts w:ascii="Times New Roman" w:hAnsi="Times New Roman" w:cs="Times New Roman"/>
                <w:sz w:val="22"/>
                <w:szCs w:val="22"/>
              </w:rPr>
              <w:t xml:space="preserve"> Credit Hours</w:t>
            </w:r>
            <w:r w:rsidR="00D90EF9">
              <w:rPr>
                <w:rFonts w:ascii="Times New Roman" w:hAnsi="Times New Roman" w:cs="Times New Roman"/>
                <w:sz w:val="22"/>
                <w:szCs w:val="22"/>
              </w:rPr>
              <w:t xml:space="preserve"> (Full-time Students)</w:t>
            </w:r>
          </w:p>
          <w:p w14:paraId="5F27065E" w14:textId="157EC0EF" w:rsidR="00EE1FB6" w:rsidRDefault="00D90EF9" w:rsidP="00EE1FB6">
            <w:pPr>
              <w:contextualSpacing/>
              <w:rPr>
                <w:rFonts w:ascii="Times New Roman" w:hAnsi="Times New Roman" w:cs="Times New Roman"/>
                <w:sz w:val="22"/>
                <w:szCs w:val="22"/>
              </w:rPr>
            </w:pPr>
            <w:r>
              <w:rPr>
                <w:rFonts w:ascii="Times New Roman" w:hAnsi="Times New Roman" w:cs="Times New Roman"/>
                <w:sz w:val="22"/>
                <w:szCs w:val="22"/>
              </w:rPr>
              <w:t>10 Credit Hours (</w:t>
            </w:r>
            <w:r w:rsidR="00EE1FB6">
              <w:rPr>
                <w:rFonts w:ascii="Times New Roman" w:hAnsi="Times New Roman" w:cs="Times New Roman"/>
                <w:sz w:val="22"/>
                <w:szCs w:val="22"/>
              </w:rPr>
              <w:t>Part-time Students</w:t>
            </w:r>
            <w:r>
              <w:rPr>
                <w:rFonts w:ascii="Times New Roman" w:hAnsi="Times New Roman" w:cs="Times New Roman"/>
                <w:sz w:val="22"/>
                <w:szCs w:val="22"/>
              </w:rPr>
              <w:t>)</w:t>
            </w:r>
            <w:r w:rsidR="00EE1FB6" w:rsidRPr="00EE1624">
              <w:rPr>
                <w:rFonts w:ascii="Times New Roman" w:hAnsi="Times New Roman" w:cs="Times New Roman"/>
                <w:sz w:val="22"/>
                <w:szCs w:val="22"/>
              </w:rPr>
              <w:t xml:space="preserve"> </w:t>
            </w:r>
          </w:p>
          <w:p w14:paraId="7F0C579D" w14:textId="77777777" w:rsidR="00957C25" w:rsidRDefault="00957C25" w:rsidP="00EE1FB6">
            <w:pPr>
              <w:contextualSpacing/>
              <w:rPr>
                <w:rFonts w:ascii="Times New Roman" w:hAnsi="Times New Roman" w:cs="Times New Roman"/>
                <w:sz w:val="22"/>
                <w:szCs w:val="22"/>
              </w:rPr>
            </w:pPr>
          </w:p>
          <w:p w14:paraId="772C2135" w14:textId="178A174D" w:rsidR="00EE1FB6" w:rsidRDefault="00EE1FB6" w:rsidP="00EE1FB6">
            <w:pPr>
              <w:contextualSpacing/>
              <w:rPr>
                <w:rFonts w:ascii="Times New Roman" w:hAnsi="Times New Roman" w:cs="Times New Roman"/>
                <w:b/>
                <w:sz w:val="22"/>
                <w:szCs w:val="22"/>
              </w:rPr>
            </w:pPr>
            <w:r w:rsidRPr="00862107">
              <w:rPr>
                <w:rFonts w:ascii="Times New Roman" w:hAnsi="Times New Roman" w:cs="Times New Roman"/>
                <w:b/>
                <w:sz w:val="22"/>
                <w:szCs w:val="22"/>
              </w:rPr>
              <w:t>Average Earned/Attempted Hours</w:t>
            </w:r>
          </w:p>
          <w:p w14:paraId="7302DF05" w14:textId="75F616B8" w:rsidR="00EE1FB6" w:rsidRPr="0019660C" w:rsidRDefault="00180A1C" w:rsidP="00EE1FB6">
            <w:pPr>
              <w:contextualSpacing/>
              <w:rPr>
                <w:rFonts w:ascii="Times New Roman" w:hAnsi="Times New Roman" w:cs="Times New Roman"/>
                <w:sz w:val="22"/>
                <w:szCs w:val="22"/>
              </w:rPr>
            </w:pPr>
            <w:r>
              <w:rPr>
                <w:rFonts w:ascii="Times New Roman" w:hAnsi="Times New Roman" w:cs="Times New Roman"/>
                <w:sz w:val="22"/>
                <w:szCs w:val="22"/>
              </w:rPr>
              <w:t>88</w:t>
            </w:r>
            <w:r w:rsidR="00D90EF9">
              <w:rPr>
                <w:rFonts w:ascii="Times New Roman" w:hAnsi="Times New Roman" w:cs="Times New Roman"/>
                <w:sz w:val="22"/>
                <w:szCs w:val="22"/>
              </w:rPr>
              <w:t>% (Full-time Students)</w:t>
            </w:r>
          </w:p>
          <w:p w14:paraId="3D04E16B" w14:textId="34B46F73" w:rsidR="003253A0" w:rsidRPr="008652D8" w:rsidRDefault="00180A1C" w:rsidP="00EE1FB6">
            <w:pPr>
              <w:rPr>
                <w:rFonts w:ascii="Times New Roman" w:hAnsi="Times New Roman" w:cs="Times New Roman"/>
                <w:b/>
                <w:color w:val="000000" w:themeColor="text1"/>
                <w:sz w:val="22"/>
                <w:szCs w:val="22"/>
              </w:rPr>
            </w:pPr>
            <w:r>
              <w:rPr>
                <w:rFonts w:ascii="Times New Roman" w:hAnsi="Times New Roman" w:cs="Times New Roman"/>
                <w:sz w:val="22"/>
                <w:szCs w:val="22"/>
              </w:rPr>
              <w:t>85</w:t>
            </w:r>
            <w:r w:rsidR="00D90EF9">
              <w:rPr>
                <w:rFonts w:ascii="Times New Roman" w:hAnsi="Times New Roman" w:cs="Times New Roman"/>
                <w:sz w:val="22"/>
                <w:szCs w:val="22"/>
              </w:rPr>
              <w:t>% (Part-time Students)</w:t>
            </w:r>
          </w:p>
        </w:tc>
      </w:tr>
      <w:tr w:rsidR="00C56245" w:rsidRPr="00706AFD" w14:paraId="1E464942" w14:textId="77777777" w:rsidTr="00B87766">
        <w:tc>
          <w:tcPr>
            <w:tcW w:w="1980" w:type="dxa"/>
            <w:gridSpan w:val="2"/>
          </w:tcPr>
          <w:p w14:paraId="1DC27635" w14:textId="77777777" w:rsidR="00C56245" w:rsidRPr="00706AFD" w:rsidRDefault="00C56245" w:rsidP="00CE5016">
            <w:pPr>
              <w:spacing w:line="360" w:lineRule="auto"/>
              <w:rPr>
                <w:rFonts w:ascii="Times New Roman" w:hAnsi="Times New Roman" w:cs="Times New Roman"/>
                <w:b/>
                <w:sz w:val="22"/>
              </w:rPr>
            </w:pPr>
            <w:r w:rsidRPr="00706AFD">
              <w:rPr>
                <w:rFonts w:ascii="Times New Roman" w:hAnsi="Times New Roman" w:cs="Times New Roman"/>
                <w:b/>
                <w:sz w:val="22"/>
              </w:rPr>
              <w:t>Lessons Learned</w:t>
            </w:r>
          </w:p>
        </w:tc>
        <w:tc>
          <w:tcPr>
            <w:tcW w:w="9540" w:type="dxa"/>
          </w:tcPr>
          <w:p w14:paraId="0D0533A9" w14:textId="2AE41C53" w:rsidR="00F36450" w:rsidRDefault="00F36450" w:rsidP="0007231F">
            <w:pPr>
              <w:ind w:left="360"/>
              <w:contextualSpacing/>
              <w:jc w:val="both"/>
              <w:rPr>
                <w:rFonts w:ascii="Times New Roman" w:hAnsi="Times New Roman" w:cs="Times New Roman"/>
                <w:sz w:val="22"/>
                <w:szCs w:val="22"/>
              </w:rPr>
            </w:pPr>
            <w:r>
              <w:rPr>
                <w:rFonts w:ascii="Times New Roman" w:hAnsi="Times New Roman" w:cs="Times New Roman"/>
                <w:sz w:val="22"/>
                <w:szCs w:val="22"/>
              </w:rPr>
              <w:t xml:space="preserve">The </w:t>
            </w:r>
            <w:r w:rsidR="00180A1C">
              <w:rPr>
                <w:rFonts w:ascii="Times New Roman" w:hAnsi="Times New Roman" w:cs="Times New Roman"/>
                <w:sz w:val="22"/>
                <w:szCs w:val="22"/>
              </w:rPr>
              <w:t>fall 2016</w:t>
            </w:r>
            <w:r w:rsidR="00D61747">
              <w:rPr>
                <w:rFonts w:ascii="Times New Roman" w:hAnsi="Times New Roman" w:cs="Times New Roman"/>
                <w:sz w:val="22"/>
                <w:szCs w:val="22"/>
              </w:rPr>
              <w:t xml:space="preserve"> CCG result</w:t>
            </w:r>
            <w:r w:rsidR="00180A1C">
              <w:rPr>
                <w:rFonts w:ascii="Times New Roman" w:hAnsi="Times New Roman" w:cs="Times New Roman"/>
                <w:sz w:val="22"/>
                <w:szCs w:val="22"/>
              </w:rPr>
              <w:t xml:space="preserve">, </w:t>
            </w:r>
            <w:r w:rsidR="00776857">
              <w:rPr>
                <w:rFonts w:ascii="Times New Roman" w:hAnsi="Times New Roman" w:cs="Times New Roman"/>
                <w:sz w:val="22"/>
                <w:szCs w:val="22"/>
              </w:rPr>
              <w:t xml:space="preserve">an </w:t>
            </w:r>
            <w:r>
              <w:rPr>
                <w:rFonts w:ascii="Times New Roman" w:hAnsi="Times New Roman" w:cs="Times New Roman"/>
                <w:sz w:val="22"/>
                <w:szCs w:val="22"/>
              </w:rPr>
              <w:t>average load</w:t>
            </w:r>
            <w:r w:rsidR="00180A1C">
              <w:rPr>
                <w:rFonts w:ascii="Times New Roman" w:hAnsi="Times New Roman" w:cs="Times New Roman"/>
                <w:sz w:val="22"/>
                <w:szCs w:val="22"/>
              </w:rPr>
              <w:t xml:space="preserve"> of </w:t>
            </w:r>
            <w:r w:rsidR="00776857">
              <w:rPr>
                <w:rFonts w:ascii="Times New Roman" w:hAnsi="Times New Roman" w:cs="Times New Roman"/>
                <w:sz w:val="22"/>
                <w:szCs w:val="22"/>
              </w:rPr>
              <w:t>13.5</w:t>
            </w:r>
            <w:r w:rsidR="00180A1C">
              <w:rPr>
                <w:rFonts w:ascii="Times New Roman" w:hAnsi="Times New Roman" w:cs="Times New Roman"/>
                <w:sz w:val="22"/>
                <w:szCs w:val="22"/>
              </w:rPr>
              <w:t xml:space="preserve"> credit hours</w:t>
            </w:r>
            <w:r>
              <w:rPr>
                <w:rFonts w:ascii="Times New Roman" w:hAnsi="Times New Roman" w:cs="Times New Roman"/>
                <w:sz w:val="22"/>
                <w:szCs w:val="22"/>
              </w:rPr>
              <w:t xml:space="preserve"> for AMSC’s </w:t>
            </w:r>
            <w:r w:rsidR="007D26ED">
              <w:rPr>
                <w:rFonts w:ascii="Times New Roman" w:hAnsi="Times New Roman" w:cs="Times New Roman"/>
                <w:sz w:val="22"/>
                <w:szCs w:val="22"/>
              </w:rPr>
              <w:t>full-time students</w:t>
            </w:r>
            <w:r w:rsidR="00F33226">
              <w:rPr>
                <w:rFonts w:ascii="Times New Roman" w:hAnsi="Times New Roman" w:cs="Times New Roman"/>
                <w:sz w:val="22"/>
                <w:szCs w:val="22"/>
              </w:rPr>
              <w:t>,</w:t>
            </w:r>
            <w:r w:rsidR="007D26ED">
              <w:rPr>
                <w:rFonts w:ascii="Times New Roman" w:hAnsi="Times New Roman" w:cs="Times New Roman"/>
                <w:sz w:val="22"/>
                <w:szCs w:val="22"/>
              </w:rPr>
              <w:t xml:space="preserve"> is within</w:t>
            </w:r>
            <w:r w:rsidR="00776857">
              <w:rPr>
                <w:rFonts w:ascii="Times New Roman" w:hAnsi="Times New Roman" w:cs="Times New Roman"/>
                <w:sz w:val="22"/>
                <w:szCs w:val="22"/>
              </w:rPr>
              <w:t xml:space="preserve"> reach of the</w:t>
            </w:r>
            <w:r>
              <w:rPr>
                <w:rFonts w:ascii="Times New Roman" w:hAnsi="Times New Roman" w:cs="Times New Roman"/>
                <w:sz w:val="22"/>
                <w:szCs w:val="22"/>
              </w:rPr>
              <w:t xml:space="preserve"> 15-to-finish</w:t>
            </w:r>
            <w:r w:rsidR="00776857">
              <w:rPr>
                <w:rFonts w:ascii="Times New Roman" w:hAnsi="Times New Roman" w:cs="Times New Roman"/>
                <w:sz w:val="22"/>
                <w:szCs w:val="22"/>
              </w:rPr>
              <w:t xml:space="preserve"> target, though there was not significant change from the previous year.</w:t>
            </w:r>
            <w:r w:rsidR="00D61747">
              <w:rPr>
                <w:rFonts w:ascii="Times New Roman" w:hAnsi="Times New Roman" w:cs="Times New Roman"/>
                <w:sz w:val="22"/>
                <w:szCs w:val="22"/>
              </w:rPr>
              <w:t xml:space="preserve"> For the upcoming year, t</w:t>
            </w:r>
            <w:r w:rsidR="00776857">
              <w:rPr>
                <w:rFonts w:ascii="Times New Roman" w:hAnsi="Times New Roman" w:cs="Times New Roman"/>
                <w:sz w:val="22"/>
                <w:szCs w:val="22"/>
              </w:rPr>
              <w:t xml:space="preserve">he College will introduce </w:t>
            </w:r>
            <w:r w:rsidR="00D61747">
              <w:rPr>
                <w:rFonts w:ascii="Times New Roman" w:hAnsi="Times New Roman" w:cs="Times New Roman"/>
                <w:sz w:val="22"/>
                <w:szCs w:val="22"/>
              </w:rPr>
              <w:t xml:space="preserve">the new intervention strategies and activities listed above </w:t>
            </w:r>
            <w:r w:rsidR="00776857">
              <w:rPr>
                <w:rFonts w:ascii="Times New Roman" w:hAnsi="Times New Roman" w:cs="Times New Roman"/>
                <w:sz w:val="22"/>
                <w:szCs w:val="22"/>
              </w:rPr>
              <w:t xml:space="preserve">with the objective of increasing the load of full-time student to the 15-to-finish target. </w:t>
            </w:r>
            <w:r w:rsidR="00D61747">
              <w:rPr>
                <w:rFonts w:ascii="Times New Roman" w:hAnsi="Times New Roman" w:cs="Times New Roman"/>
                <w:sz w:val="22"/>
                <w:szCs w:val="22"/>
              </w:rPr>
              <w:t>In addition, t</w:t>
            </w:r>
            <w:r w:rsidR="00776857">
              <w:rPr>
                <w:rFonts w:ascii="Times New Roman" w:hAnsi="Times New Roman" w:cs="Times New Roman"/>
                <w:sz w:val="22"/>
                <w:szCs w:val="22"/>
              </w:rPr>
              <w:t>he College w</w:t>
            </w:r>
            <w:r w:rsidR="007D26ED">
              <w:rPr>
                <w:rFonts w:ascii="Times New Roman" w:hAnsi="Times New Roman" w:cs="Times New Roman"/>
                <w:sz w:val="22"/>
                <w:szCs w:val="22"/>
              </w:rPr>
              <w:t>il</w:t>
            </w:r>
            <w:r w:rsidR="00EE6E6C">
              <w:rPr>
                <w:rFonts w:ascii="Times New Roman" w:hAnsi="Times New Roman" w:cs="Times New Roman"/>
                <w:sz w:val="22"/>
                <w:szCs w:val="22"/>
              </w:rPr>
              <w:t>l focus more of its effort</w:t>
            </w:r>
            <w:r w:rsidR="007D26ED">
              <w:rPr>
                <w:rFonts w:ascii="Times New Roman" w:hAnsi="Times New Roman" w:cs="Times New Roman"/>
                <w:sz w:val="22"/>
                <w:szCs w:val="22"/>
              </w:rPr>
              <w:t xml:space="preserve"> on</w:t>
            </w:r>
            <w:r w:rsidR="00776857">
              <w:rPr>
                <w:rFonts w:ascii="Times New Roman" w:hAnsi="Times New Roman" w:cs="Times New Roman"/>
                <w:sz w:val="22"/>
                <w:szCs w:val="22"/>
              </w:rPr>
              <w:t xml:space="preserve"> part-time stud</w:t>
            </w:r>
            <w:r w:rsidR="007D26ED">
              <w:rPr>
                <w:rFonts w:ascii="Times New Roman" w:hAnsi="Times New Roman" w:cs="Times New Roman"/>
                <w:sz w:val="22"/>
                <w:szCs w:val="22"/>
              </w:rPr>
              <w:t>ents, who are further from the</w:t>
            </w:r>
            <w:r w:rsidR="00D61747">
              <w:rPr>
                <w:rFonts w:ascii="Times New Roman" w:hAnsi="Times New Roman" w:cs="Times New Roman"/>
                <w:sz w:val="22"/>
                <w:szCs w:val="22"/>
              </w:rPr>
              <w:t>ir</w:t>
            </w:r>
            <w:r w:rsidR="00776857">
              <w:rPr>
                <w:rFonts w:ascii="Times New Roman" w:hAnsi="Times New Roman" w:cs="Times New Roman"/>
                <w:sz w:val="22"/>
                <w:szCs w:val="22"/>
              </w:rPr>
              <w:t xml:space="preserve"> 10 credits per semester</w:t>
            </w:r>
            <w:r w:rsidR="007D26ED">
              <w:rPr>
                <w:rFonts w:ascii="Times New Roman" w:hAnsi="Times New Roman" w:cs="Times New Roman"/>
                <w:sz w:val="22"/>
                <w:szCs w:val="22"/>
              </w:rPr>
              <w:t xml:space="preserve"> registration</w:t>
            </w:r>
            <w:r w:rsidR="00D61747">
              <w:rPr>
                <w:rFonts w:ascii="Times New Roman" w:hAnsi="Times New Roman" w:cs="Times New Roman"/>
                <w:sz w:val="22"/>
                <w:szCs w:val="22"/>
              </w:rPr>
              <w:t xml:space="preserve"> target. The College has learned</w:t>
            </w:r>
            <w:bookmarkStart w:id="0" w:name="_GoBack"/>
            <w:bookmarkEnd w:id="0"/>
            <w:r w:rsidR="00776857">
              <w:rPr>
                <w:rFonts w:ascii="Times New Roman" w:hAnsi="Times New Roman" w:cs="Times New Roman"/>
                <w:sz w:val="22"/>
                <w:szCs w:val="22"/>
              </w:rPr>
              <w:t xml:space="preserve"> that no single intervention strategy is more effective than the other, </w:t>
            </w:r>
            <w:r w:rsidR="001E0835">
              <w:rPr>
                <w:rFonts w:ascii="Times New Roman" w:hAnsi="Times New Roman" w:cs="Times New Roman"/>
                <w:sz w:val="22"/>
                <w:szCs w:val="22"/>
              </w:rPr>
              <w:t>but th</w:t>
            </w:r>
            <w:r w:rsidR="00EE6E6C">
              <w:rPr>
                <w:rFonts w:ascii="Times New Roman" w:hAnsi="Times New Roman" w:cs="Times New Roman"/>
                <w:sz w:val="22"/>
                <w:szCs w:val="22"/>
              </w:rPr>
              <w:t>at the success of any</w:t>
            </w:r>
            <w:r w:rsidR="007D26ED">
              <w:rPr>
                <w:rFonts w:ascii="Times New Roman" w:hAnsi="Times New Roman" w:cs="Times New Roman"/>
                <w:sz w:val="22"/>
                <w:szCs w:val="22"/>
              </w:rPr>
              <w:t xml:space="preserve"> strategy depends on the extent that the</w:t>
            </w:r>
            <w:r w:rsidR="001E0835">
              <w:rPr>
                <w:rFonts w:ascii="Times New Roman" w:hAnsi="Times New Roman" w:cs="Times New Roman"/>
                <w:sz w:val="22"/>
                <w:szCs w:val="22"/>
              </w:rPr>
              <w:t xml:space="preserve"> interventions</w:t>
            </w:r>
            <w:r w:rsidR="007D26ED">
              <w:rPr>
                <w:rFonts w:ascii="Times New Roman" w:hAnsi="Times New Roman" w:cs="Times New Roman"/>
                <w:sz w:val="22"/>
                <w:szCs w:val="22"/>
              </w:rPr>
              <w:t xml:space="preserve"> can be operationalized to meet the individual needs of students.</w:t>
            </w:r>
            <w:r w:rsidR="00AE2209">
              <w:rPr>
                <w:rFonts w:ascii="Times New Roman" w:hAnsi="Times New Roman" w:cs="Times New Roman"/>
                <w:sz w:val="22"/>
                <w:szCs w:val="22"/>
              </w:rPr>
              <w:t xml:space="preserve"> The </w:t>
            </w:r>
            <w:r w:rsidR="005A592F">
              <w:rPr>
                <w:rFonts w:ascii="Times New Roman" w:hAnsi="Times New Roman" w:cs="Times New Roman"/>
                <w:sz w:val="22"/>
                <w:szCs w:val="22"/>
              </w:rPr>
              <w:t>decrease in the earned/attempted hours, from the previous year, will</w:t>
            </w:r>
            <w:r w:rsidR="00AE2209">
              <w:rPr>
                <w:rFonts w:ascii="Times New Roman" w:hAnsi="Times New Roman" w:cs="Times New Roman"/>
                <w:sz w:val="22"/>
                <w:szCs w:val="22"/>
              </w:rPr>
              <w:t xml:space="preserve"> require additional focus</w:t>
            </w:r>
            <w:r w:rsidR="005A592F">
              <w:rPr>
                <w:rFonts w:ascii="Times New Roman" w:hAnsi="Times New Roman" w:cs="Times New Roman"/>
                <w:sz w:val="22"/>
                <w:szCs w:val="22"/>
              </w:rPr>
              <w:t xml:space="preserve"> because repeating courses, or not being able to use course credits toward the degree, delays</w:t>
            </w:r>
            <w:r w:rsidR="00AE2209">
              <w:rPr>
                <w:rFonts w:ascii="Times New Roman" w:hAnsi="Times New Roman" w:cs="Times New Roman"/>
                <w:sz w:val="22"/>
                <w:szCs w:val="22"/>
              </w:rPr>
              <w:t xml:space="preserve"> student</w:t>
            </w:r>
            <w:r w:rsidR="005A592F">
              <w:rPr>
                <w:rFonts w:ascii="Times New Roman" w:hAnsi="Times New Roman" w:cs="Times New Roman"/>
                <w:sz w:val="22"/>
                <w:szCs w:val="22"/>
              </w:rPr>
              <w:t xml:space="preserve"> completion. </w:t>
            </w:r>
          </w:p>
          <w:p w14:paraId="1B9B91EB" w14:textId="77777777" w:rsidR="00F36450" w:rsidRDefault="00F36450" w:rsidP="0007231F">
            <w:pPr>
              <w:ind w:left="360"/>
              <w:contextualSpacing/>
              <w:jc w:val="both"/>
              <w:rPr>
                <w:rFonts w:ascii="Times New Roman" w:hAnsi="Times New Roman" w:cs="Times New Roman"/>
                <w:sz w:val="22"/>
                <w:szCs w:val="22"/>
              </w:rPr>
            </w:pPr>
          </w:p>
          <w:p w14:paraId="03FB65D8" w14:textId="62ACACB1" w:rsidR="00C56245" w:rsidRPr="00D3059B" w:rsidRDefault="0007231F" w:rsidP="0007231F">
            <w:pPr>
              <w:ind w:left="360"/>
              <w:contextualSpacing/>
              <w:jc w:val="both"/>
              <w:rPr>
                <w:rFonts w:ascii="Times New Roman" w:hAnsi="Times New Roman" w:cs="Times New Roman"/>
                <w:sz w:val="22"/>
                <w:szCs w:val="22"/>
              </w:rPr>
            </w:pPr>
            <w:r>
              <w:rPr>
                <w:rFonts w:ascii="Times New Roman" w:hAnsi="Times New Roman" w:cs="Times New Roman"/>
                <w:sz w:val="22"/>
                <w:szCs w:val="22"/>
              </w:rPr>
              <w:t>Numerous factors limit part-time students from registering full-time, thus delaying their</w:t>
            </w:r>
            <w:r w:rsidR="00C56245" w:rsidRPr="00D3059B">
              <w:rPr>
                <w:rFonts w:ascii="Times New Roman" w:hAnsi="Times New Roman" w:cs="Times New Roman"/>
                <w:i/>
                <w:iCs/>
                <w:sz w:val="22"/>
                <w:szCs w:val="22"/>
              </w:rPr>
              <w:t xml:space="preserve"> </w:t>
            </w:r>
            <w:r w:rsidR="00C56245" w:rsidRPr="00D3059B">
              <w:rPr>
                <w:rFonts w:ascii="Times New Roman" w:hAnsi="Times New Roman" w:cs="Times New Roman"/>
                <w:sz w:val="22"/>
                <w:szCs w:val="22"/>
              </w:rPr>
              <w:t>graduation</w:t>
            </w:r>
            <w:r>
              <w:rPr>
                <w:rFonts w:ascii="Times New Roman" w:hAnsi="Times New Roman" w:cs="Times New Roman"/>
                <w:sz w:val="22"/>
                <w:szCs w:val="22"/>
              </w:rPr>
              <w:t>. These factors include</w:t>
            </w:r>
            <w:r w:rsidR="00C56245" w:rsidRPr="00D3059B">
              <w:rPr>
                <w:rFonts w:ascii="Times New Roman" w:hAnsi="Times New Roman" w:cs="Times New Roman"/>
                <w:sz w:val="22"/>
                <w:szCs w:val="22"/>
              </w:rPr>
              <w:t>: (1) errors or lack of good choices in course selection, (2) changing program of study resulting in loss of credits, thus extending time to graduation, (3) academic jeopardy, which places students on warning, probation or suspension, delaying comple</w:t>
            </w:r>
            <w:r w:rsidR="00631410">
              <w:rPr>
                <w:rFonts w:ascii="Times New Roman" w:hAnsi="Times New Roman" w:cs="Times New Roman"/>
                <w:sz w:val="22"/>
                <w:szCs w:val="22"/>
              </w:rPr>
              <w:t>tion or causing drop-outs, (4) financial a</w:t>
            </w:r>
            <w:r w:rsidR="00C56245" w:rsidRPr="00D3059B">
              <w:rPr>
                <w:rFonts w:ascii="Times New Roman" w:hAnsi="Times New Roman" w:cs="Times New Roman"/>
                <w:sz w:val="22"/>
                <w:szCs w:val="22"/>
              </w:rPr>
              <w:t>id problems linked to Satisfactory Academic Progress (SAP) requirements, and (5) lack of early academic support, resulting in an increase in course attempts, earned/attempt credit hour ratio, and delay in completion. The AMSC Academic Alert Program was expanded and realigned with the Center for Academic Advising to ensure that academic jeopardy and hig</w:t>
            </w:r>
            <w:r w:rsidR="00631410">
              <w:rPr>
                <w:rFonts w:ascii="Times New Roman" w:hAnsi="Times New Roman" w:cs="Times New Roman"/>
                <w:sz w:val="22"/>
                <w:szCs w:val="22"/>
              </w:rPr>
              <w:t>h-risk students are served in a more</w:t>
            </w:r>
            <w:r w:rsidR="00C56245" w:rsidRPr="00D3059B">
              <w:rPr>
                <w:rFonts w:ascii="Times New Roman" w:hAnsi="Times New Roman" w:cs="Times New Roman"/>
                <w:sz w:val="22"/>
                <w:szCs w:val="22"/>
              </w:rPr>
              <w:t xml:space="preserve"> effective manner to promote </w:t>
            </w:r>
            <w:r w:rsidR="00631410">
              <w:rPr>
                <w:rFonts w:ascii="Times New Roman" w:hAnsi="Times New Roman" w:cs="Times New Roman"/>
                <w:sz w:val="22"/>
                <w:szCs w:val="22"/>
              </w:rPr>
              <w:t>their</w:t>
            </w:r>
            <w:r w:rsidR="00C56245" w:rsidRPr="00D3059B">
              <w:rPr>
                <w:rFonts w:ascii="Times New Roman" w:hAnsi="Times New Roman" w:cs="Times New Roman"/>
                <w:sz w:val="22"/>
                <w:szCs w:val="22"/>
              </w:rPr>
              <w:t xml:space="preserve"> completion.</w:t>
            </w:r>
            <w:r>
              <w:rPr>
                <w:rFonts w:ascii="Times New Roman" w:hAnsi="Times New Roman" w:cs="Times New Roman"/>
                <w:sz w:val="22"/>
                <w:szCs w:val="22"/>
              </w:rPr>
              <w:t xml:space="preserve">   </w:t>
            </w:r>
          </w:p>
          <w:p w14:paraId="0B462D58" w14:textId="33F9FEA9" w:rsidR="00C56245" w:rsidRPr="00D3059B" w:rsidRDefault="00C56245" w:rsidP="00546F86">
            <w:pPr>
              <w:ind w:left="360"/>
              <w:contextualSpacing/>
              <w:jc w:val="both"/>
              <w:rPr>
                <w:rFonts w:ascii="Times New Roman" w:hAnsi="Times New Roman" w:cs="Times New Roman"/>
                <w:sz w:val="22"/>
                <w:szCs w:val="22"/>
              </w:rPr>
            </w:pPr>
          </w:p>
        </w:tc>
      </w:tr>
    </w:tbl>
    <w:p w14:paraId="3D5764C8" w14:textId="77777777" w:rsidR="00260153" w:rsidRDefault="00260153" w:rsidP="00E03B87">
      <w:pPr>
        <w:pStyle w:val="Default"/>
        <w:shd w:val="clear" w:color="auto" w:fill="FFFFFF" w:themeFill="background1"/>
        <w:spacing w:line="276" w:lineRule="auto"/>
        <w:jc w:val="both"/>
        <w:rPr>
          <w:b/>
          <w:sz w:val="28"/>
          <w:szCs w:val="28"/>
        </w:rPr>
      </w:pPr>
    </w:p>
    <w:p w14:paraId="37C98896" w14:textId="77777777" w:rsidR="000D7332" w:rsidRDefault="000D7332" w:rsidP="00E03B87">
      <w:pPr>
        <w:pStyle w:val="Default"/>
        <w:shd w:val="clear" w:color="auto" w:fill="FFFFFF" w:themeFill="background1"/>
        <w:spacing w:line="276" w:lineRule="auto"/>
        <w:jc w:val="both"/>
        <w:rPr>
          <w:b/>
          <w:sz w:val="28"/>
          <w:szCs w:val="28"/>
        </w:rPr>
      </w:pPr>
    </w:p>
    <w:tbl>
      <w:tblPr>
        <w:tblStyle w:val="TableGrid1"/>
        <w:tblW w:w="11520" w:type="dxa"/>
        <w:tblInd w:w="-1085" w:type="dxa"/>
        <w:tblLayout w:type="fixed"/>
        <w:tblLook w:val="04A0" w:firstRow="1" w:lastRow="0" w:firstColumn="1" w:lastColumn="0" w:noHBand="0" w:noVBand="1"/>
      </w:tblPr>
      <w:tblGrid>
        <w:gridCol w:w="540"/>
        <w:gridCol w:w="1440"/>
        <w:gridCol w:w="9540"/>
      </w:tblGrid>
      <w:tr w:rsidR="00706AFD" w:rsidRPr="00706AFD" w14:paraId="403A6B5A" w14:textId="77777777" w:rsidTr="00B87766">
        <w:tc>
          <w:tcPr>
            <w:tcW w:w="1980" w:type="dxa"/>
            <w:gridSpan w:val="2"/>
          </w:tcPr>
          <w:p w14:paraId="32B34439" w14:textId="5FA04798" w:rsidR="00706AFD" w:rsidRPr="00706AFD" w:rsidRDefault="002B3901" w:rsidP="007B7010">
            <w:pPr>
              <w:rPr>
                <w:rFonts w:ascii="Times New Roman" w:hAnsi="Times New Roman" w:cs="Times New Roman"/>
                <w:b/>
                <w:sz w:val="22"/>
              </w:rPr>
            </w:pPr>
            <w:r>
              <w:rPr>
                <w:rFonts w:ascii="Times New Roman" w:hAnsi="Times New Roman" w:cs="Times New Roman"/>
                <w:b/>
                <w:sz w:val="22"/>
              </w:rPr>
              <w:t>High-impact S</w:t>
            </w:r>
            <w:r w:rsidR="00706AFD" w:rsidRPr="00706AFD">
              <w:rPr>
                <w:rFonts w:ascii="Times New Roman" w:hAnsi="Times New Roman" w:cs="Times New Roman"/>
                <w:b/>
                <w:sz w:val="22"/>
              </w:rPr>
              <w:t>trategy</w:t>
            </w:r>
            <w:r>
              <w:rPr>
                <w:rFonts w:ascii="Times New Roman" w:hAnsi="Times New Roman" w:cs="Times New Roman"/>
                <w:b/>
                <w:sz w:val="22"/>
              </w:rPr>
              <w:t xml:space="preserve"> #2</w:t>
            </w:r>
          </w:p>
        </w:tc>
        <w:tc>
          <w:tcPr>
            <w:tcW w:w="9540" w:type="dxa"/>
          </w:tcPr>
          <w:p w14:paraId="00971CD9" w14:textId="29A88AFE" w:rsidR="00706AFD" w:rsidRPr="00706AFD" w:rsidRDefault="000D7332" w:rsidP="000F2B7A">
            <w:pPr>
              <w:rPr>
                <w:rFonts w:ascii="Times New Roman" w:hAnsi="Times New Roman" w:cs="Times New Roman"/>
                <w:sz w:val="22"/>
              </w:rPr>
            </w:pPr>
            <w:r w:rsidRPr="000D7332">
              <w:rPr>
                <w:rFonts w:ascii="Times New Roman" w:hAnsi="Times New Roman" w:cs="Times New Roman"/>
                <w:b/>
                <w:sz w:val="22"/>
                <w:u w:val="single"/>
              </w:rPr>
              <w:t>Strategy 2.0</w:t>
            </w:r>
            <w:r w:rsidR="00A42097">
              <w:rPr>
                <w:rFonts w:ascii="Times New Roman" w:hAnsi="Times New Roman" w:cs="Times New Roman"/>
                <w:sz w:val="22"/>
              </w:rPr>
              <w:t>: Increases</w:t>
            </w:r>
            <w:r w:rsidR="00706AFD" w:rsidRPr="00706AFD">
              <w:rPr>
                <w:rFonts w:ascii="Times New Roman" w:hAnsi="Times New Roman" w:cs="Times New Roman"/>
                <w:sz w:val="22"/>
              </w:rPr>
              <w:t xml:space="preserve"> </w:t>
            </w:r>
            <w:r w:rsidR="00A42097">
              <w:rPr>
                <w:rFonts w:ascii="Times New Roman" w:hAnsi="Times New Roman" w:cs="Times New Roman"/>
                <w:sz w:val="22"/>
              </w:rPr>
              <w:t xml:space="preserve">course </w:t>
            </w:r>
            <w:r w:rsidR="00706AFD" w:rsidRPr="00706AFD">
              <w:rPr>
                <w:rFonts w:ascii="Times New Roman" w:hAnsi="Times New Roman" w:cs="Times New Roman"/>
                <w:sz w:val="22"/>
              </w:rPr>
              <w:t xml:space="preserve">access and completion for </w:t>
            </w:r>
            <w:r w:rsidR="00347F66">
              <w:rPr>
                <w:rFonts w:ascii="Times New Roman" w:hAnsi="Times New Roman" w:cs="Times New Roman"/>
                <w:sz w:val="22"/>
              </w:rPr>
              <w:t>adult learners (25</w:t>
            </w:r>
            <w:r w:rsidR="00A42097">
              <w:rPr>
                <w:rFonts w:ascii="Times New Roman" w:hAnsi="Times New Roman" w:cs="Times New Roman"/>
                <w:sz w:val="22"/>
              </w:rPr>
              <w:t xml:space="preserve"> years and older)</w:t>
            </w:r>
          </w:p>
        </w:tc>
      </w:tr>
      <w:tr w:rsidR="00706AFD" w:rsidRPr="00706AFD" w14:paraId="7EE05A26" w14:textId="77777777" w:rsidTr="00B87766">
        <w:tc>
          <w:tcPr>
            <w:tcW w:w="1980" w:type="dxa"/>
            <w:gridSpan w:val="2"/>
          </w:tcPr>
          <w:p w14:paraId="1C353038" w14:textId="77777777" w:rsidR="00706AFD" w:rsidRPr="00706AFD" w:rsidRDefault="00706AFD" w:rsidP="007B7010">
            <w:pPr>
              <w:rPr>
                <w:rFonts w:ascii="Times New Roman" w:hAnsi="Times New Roman" w:cs="Times New Roman"/>
                <w:b/>
                <w:sz w:val="22"/>
              </w:rPr>
            </w:pPr>
            <w:r w:rsidRPr="00706AFD">
              <w:rPr>
                <w:rFonts w:ascii="Times New Roman" w:hAnsi="Times New Roman" w:cs="Times New Roman"/>
                <w:b/>
                <w:sz w:val="22"/>
              </w:rPr>
              <w:t xml:space="preserve">Related Goal </w:t>
            </w:r>
          </w:p>
        </w:tc>
        <w:tc>
          <w:tcPr>
            <w:tcW w:w="9540" w:type="dxa"/>
          </w:tcPr>
          <w:p w14:paraId="4E89286A" w14:textId="0360F41D" w:rsidR="00706AFD" w:rsidRPr="00706AFD" w:rsidRDefault="00706AFD" w:rsidP="00706AFD">
            <w:pPr>
              <w:spacing w:line="360" w:lineRule="auto"/>
              <w:rPr>
                <w:rFonts w:ascii="Times New Roman" w:hAnsi="Times New Roman" w:cs="Times New Roman"/>
                <w:sz w:val="22"/>
              </w:rPr>
            </w:pPr>
            <w:r w:rsidRPr="00706AFD">
              <w:rPr>
                <w:rFonts w:ascii="Times New Roman" w:hAnsi="Times New Roman" w:cs="Times New Roman"/>
                <w:sz w:val="22"/>
              </w:rPr>
              <w:t xml:space="preserve">Goal 1: </w:t>
            </w:r>
            <w:r w:rsidR="00A42097">
              <w:rPr>
                <w:rFonts w:ascii="Times New Roman" w:hAnsi="Times New Roman" w:cs="Times New Roman"/>
                <w:sz w:val="22"/>
              </w:rPr>
              <w:t>In</w:t>
            </w:r>
            <w:r w:rsidR="00A16043">
              <w:rPr>
                <w:rFonts w:ascii="Times New Roman" w:hAnsi="Times New Roman" w:cs="Times New Roman"/>
                <w:sz w:val="22"/>
              </w:rPr>
              <w:t xml:space="preserve">crease higher education </w:t>
            </w:r>
            <w:r w:rsidR="00D23C6D">
              <w:rPr>
                <w:rFonts w:ascii="Times New Roman" w:hAnsi="Times New Roman" w:cs="Times New Roman"/>
                <w:sz w:val="22"/>
              </w:rPr>
              <w:t>access for underserved and/or priority communities</w:t>
            </w:r>
          </w:p>
        </w:tc>
      </w:tr>
      <w:tr w:rsidR="00706AFD" w:rsidRPr="00706AFD" w14:paraId="77AA047E" w14:textId="77777777" w:rsidTr="00B87766">
        <w:tc>
          <w:tcPr>
            <w:tcW w:w="1980" w:type="dxa"/>
            <w:gridSpan w:val="2"/>
          </w:tcPr>
          <w:p w14:paraId="7FEF565E" w14:textId="77777777" w:rsidR="00706AFD" w:rsidRPr="00706AFD" w:rsidRDefault="00706AFD" w:rsidP="007B7010">
            <w:pPr>
              <w:rPr>
                <w:rFonts w:ascii="Times New Roman" w:hAnsi="Times New Roman" w:cs="Times New Roman"/>
                <w:b/>
                <w:sz w:val="22"/>
              </w:rPr>
            </w:pPr>
            <w:r w:rsidRPr="00706AFD">
              <w:rPr>
                <w:rFonts w:ascii="Times New Roman" w:hAnsi="Times New Roman" w:cs="Times New Roman"/>
                <w:b/>
                <w:sz w:val="22"/>
              </w:rPr>
              <w:t>Demonstration of Priority and/or Impact</w:t>
            </w:r>
          </w:p>
        </w:tc>
        <w:tc>
          <w:tcPr>
            <w:tcW w:w="9540" w:type="dxa"/>
          </w:tcPr>
          <w:p w14:paraId="4711244A" w14:textId="25798696" w:rsidR="00706AFD" w:rsidRPr="00706AFD" w:rsidRDefault="00313899" w:rsidP="00313899">
            <w:pPr>
              <w:contextualSpacing/>
              <w:rPr>
                <w:rFonts w:ascii="Times New Roman" w:hAnsi="Times New Roman" w:cs="Times New Roman"/>
                <w:iCs/>
                <w:sz w:val="22"/>
                <w:szCs w:val="22"/>
              </w:rPr>
            </w:pPr>
            <w:r>
              <w:rPr>
                <w:rFonts w:ascii="Times New Roman" w:hAnsi="Times New Roman" w:cs="Times New Roman"/>
                <w:iCs/>
                <w:sz w:val="22"/>
                <w:szCs w:val="22"/>
              </w:rPr>
              <w:t>When disaggregating and normalizing for the number of degr</w:t>
            </w:r>
            <w:r w:rsidR="001D58F4">
              <w:rPr>
                <w:rFonts w:ascii="Times New Roman" w:hAnsi="Times New Roman" w:cs="Times New Roman"/>
                <w:iCs/>
                <w:sz w:val="22"/>
                <w:szCs w:val="22"/>
              </w:rPr>
              <w:t>ees conferred by age</w:t>
            </w:r>
            <w:r>
              <w:rPr>
                <w:rFonts w:ascii="Times New Roman" w:hAnsi="Times New Roman" w:cs="Times New Roman"/>
                <w:iCs/>
                <w:sz w:val="22"/>
                <w:szCs w:val="22"/>
              </w:rPr>
              <w:t>, non-traditional students (students who begi</w:t>
            </w:r>
            <w:r w:rsidR="00FF4E00">
              <w:rPr>
                <w:rFonts w:ascii="Times New Roman" w:hAnsi="Times New Roman" w:cs="Times New Roman"/>
                <w:iCs/>
                <w:sz w:val="22"/>
                <w:szCs w:val="22"/>
              </w:rPr>
              <w:t>n College within five years of high s</w:t>
            </w:r>
            <w:r>
              <w:rPr>
                <w:rFonts w:ascii="Times New Roman" w:hAnsi="Times New Roman" w:cs="Times New Roman"/>
                <w:iCs/>
                <w:sz w:val="22"/>
                <w:szCs w:val="22"/>
              </w:rPr>
              <w:t>chool graduation) were conferred degrees at approxi</w:t>
            </w:r>
            <w:r w:rsidR="00FF4E00">
              <w:rPr>
                <w:rFonts w:ascii="Times New Roman" w:hAnsi="Times New Roman" w:cs="Times New Roman"/>
                <w:iCs/>
                <w:sz w:val="22"/>
                <w:szCs w:val="22"/>
              </w:rPr>
              <w:t>mately twice (1.7:1) the rate to that of</w:t>
            </w:r>
            <w:r>
              <w:rPr>
                <w:rFonts w:ascii="Times New Roman" w:hAnsi="Times New Roman" w:cs="Times New Roman"/>
                <w:iCs/>
                <w:sz w:val="22"/>
                <w:szCs w:val="22"/>
              </w:rPr>
              <w:t xml:space="preserve"> adult learners (25 years and o</w:t>
            </w:r>
            <w:r w:rsidR="00FF4E00">
              <w:rPr>
                <w:rFonts w:ascii="Times New Roman" w:hAnsi="Times New Roman" w:cs="Times New Roman"/>
                <w:iCs/>
                <w:sz w:val="22"/>
                <w:szCs w:val="22"/>
              </w:rPr>
              <w:t>lder).  Thus, a high CCG priority is to increase the completion of</w:t>
            </w:r>
            <w:r>
              <w:rPr>
                <w:rFonts w:ascii="Times New Roman" w:hAnsi="Times New Roman" w:cs="Times New Roman"/>
                <w:iCs/>
                <w:sz w:val="22"/>
                <w:szCs w:val="22"/>
              </w:rPr>
              <w:t xml:space="preserve"> adult learners. </w:t>
            </w:r>
            <w:r w:rsidR="00E24B97">
              <w:rPr>
                <w:rFonts w:ascii="Times New Roman" w:hAnsi="Times New Roman" w:cs="Times New Roman"/>
                <w:iCs/>
                <w:sz w:val="22"/>
                <w:szCs w:val="22"/>
              </w:rPr>
              <w:t>This s</w:t>
            </w:r>
            <w:r w:rsidR="00FF4E00">
              <w:rPr>
                <w:rFonts w:ascii="Times New Roman" w:hAnsi="Times New Roman" w:cs="Times New Roman"/>
                <w:iCs/>
                <w:sz w:val="22"/>
                <w:szCs w:val="22"/>
              </w:rPr>
              <w:t>trategy potentially impacted</w:t>
            </w:r>
            <w:r w:rsidR="00E24B97">
              <w:rPr>
                <w:rFonts w:ascii="Times New Roman" w:hAnsi="Times New Roman" w:cs="Times New Roman"/>
                <w:iCs/>
                <w:sz w:val="22"/>
                <w:szCs w:val="22"/>
              </w:rPr>
              <w:t xml:space="preserve"> </w:t>
            </w:r>
            <w:r>
              <w:rPr>
                <w:rFonts w:ascii="Times New Roman" w:hAnsi="Times New Roman" w:cs="Times New Roman"/>
                <w:iCs/>
                <w:sz w:val="22"/>
                <w:szCs w:val="22"/>
              </w:rPr>
              <w:t>1060 (</w:t>
            </w:r>
            <w:r w:rsidR="00347F66">
              <w:rPr>
                <w:rFonts w:ascii="Times New Roman" w:hAnsi="Times New Roman" w:cs="Times New Roman"/>
                <w:iCs/>
                <w:sz w:val="22"/>
                <w:szCs w:val="22"/>
              </w:rPr>
              <w:t>40%</w:t>
            </w:r>
            <w:r>
              <w:rPr>
                <w:rFonts w:ascii="Times New Roman" w:hAnsi="Times New Roman" w:cs="Times New Roman"/>
                <w:iCs/>
                <w:sz w:val="22"/>
                <w:szCs w:val="22"/>
              </w:rPr>
              <w:t>) adult learner</w:t>
            </w:r>
            <w:r w:rsidR="00FF4E00">
              <w:rPr>
                <w:rFonts w:ascii="Times New Roman" w:hAnsi="Times New Roman" w:cs="Times New Roman"/>
                <w:iCs/>
                <w:sz w:val="22"/>
                <w:szCs w:val="22"/>
              </w:rPr>
              <w:t>s</w:t>
            </w:r>
            <w:r w:rsidR="00A0696A">
              <w:rPr>
                <w:rFonts w:ascii="Times New Roman" w:hAnsi="Times New Roman" w:cs="Times New Roman"/>
                <w:iCs/>
                <w:sz w:val="22"/>
                <w:szCs w:val="22"/>
              </w:rPr>
              <w:t xml:space="preserve"> during the</w:t>
            </w:r>
            <w:r w:rsidR="000C2BB1">
              <w:rPr>
                <w:rFonts w:ascii="Times New Roman" w:hAnsi="Times New Roman" w:cs="Times New Roman"/>
                <w:iCs/>
                <w:sz w:val="22"/>
                <w:szCs w:val="22"/>
              </w:rPr>
              <w:t xml:space="preserve"> fall 2016</w:t>
            </w:r>
            <w:r w:rsidR="00FF4E00">
              <w:rPr>
                <w:rFonts w:ascii="Times New Roman" w:hAnsi="Times New Roman" w:cs="Times New Roman"/>
                <w:iCs/>
                <w:sz w:val="22"/>
                <w:szCs w:val="22"/>
              </w:rPr>
              <w:t xml:space="preserve"> semester</w:t>
            </w:r>
            <w:r w:rsidR="00EF087F">
              <w:rPr>
                <w:rFonts w:ascii="Times New Roman" w:hAnsi="Times New Roman" w:cs="Times New Roman"/>
                <w:iCs/>
                <w:sz w:val="22"/>
                <w:szCs w:val="22"/>
              </w:rPr>
              <w:t xml:space="preserve">. </w:t>
            </w:r>
            <w:r w:rsidR="008D3491">
              <w:rPr>
                <w:rFonts w:ascii="Times New Roman" w:hAnsi="Times New Roman" w:cs="Times New Roman"/>
                <w:iCs/>
                <w:sz w:val="22"/>
                <w:szCs w:val="22"/>
              </w:rPr>
              <w:t>Expanding</w:t>
            </w:r>
            <w:r w:rsidR="00EF087F">
              <w:rPr>
                <w:rFonts w:ascii="Times New Roman" w:hAnsi="Times New Roman" w:cs="Times New Roman"/>
                <w:iCs/>
                <w:sz w:val="22"/>
                <w:szCs w:val="22"/>
              </w:rPr>
              <w:t xml:space="preserve"> access to online courses increases the options for</w:t>
            </w:r>
            <w:r w:rsidR="002A7D17">
              <w:rPr>
                <w:rFonts w:ascii="Times New Roman" w:hAnsi="Times New Roman" w:cs="Times New Roman"/>
                <w:iCs/>
                <w:sz w:val="22"/>
                <w:szCs w:val="22"/>
              </w:rPr>
              <w:t xml:space="preserve"> adult learn</w:t>
            </w:r>
            <w:r w:rsidR="00EF087F">
              <w:rPr>
                <w:rFonts w:ascii="Times New Roman" w:hAnsi="Times New Roman" w:cs="Times New Roman"/>
                <w:iCs/>
                <w:sz w:val="22"/>
                <w:szCs w:val="22"/>
              </w:rPr>
              <w:t xml:space="preserve">ers to take </w:t>
            </w:r>
            <w:r w:rsidR="009175F5">
              <w:rPr>
                <w:rFonts w:ascii="Times New Roman" w:hAnsi="Times New Roman" w:cs="Times New Roman"/>
                <w:iCs/>
                <w:sz w:val="22"/>
                <w:szCs w:val="22"/>
              </w:rPr>
              <w:t xml:space="preserve">a </w:t>
            </w:r>
            <w:r w:rsidR="00EF087F">
              <w:rPr>
                <w:rFonts w:ascii="Times New Roman" w:hAnsi="Times New Roman" w:cs="Times New Roman"/>
                <w:iCs/>
                <w:sz w:val="22"/>
                <w:szCs w:val="22"/>
              </w:rPr>
              <w:t>wider range of courses</w:t>
            </w:r>
            <w:r w:rsidR="00FF4E00">
              <w:rPr>
                <w:rFonts w:ascii="Times New Roman" w:hAnsi="Times New Roman" w:cs="Times New Roman"/>
                <w:iCs/>
                <w:sz w:val="22"/>
                <w:szCs w:val="22"/>
              </w:rPr>
              <w:t>,</w:t>
            </w:r>
            <w:r w:rsidR="00EF087F">
              <w:rPr>
                <w:rFonts w:ascii="Times New Roman" w:hAnsi="Times New Roman" w:cs="Times New Roman"/>
                <w:iCs/>
                <w:sz w:val="22"/>
                <w:szCs w:val="22"/>
              </w:rPr>
              <w:t xml:space="preserve"> as well as increase </w:t>
            </w:r>
            <w:r w:rsidR="000C2BB1">
              <w:rPr>
                <w:rFonts w:ascii="Times New Roman" w:hAnsi="Times New Roman" w:cs="Times New Roman"/>
                <w:iCs/>
                <w:sz w:val="22"/>
                <w:szCs w:val="22"/>
              </w:rPr>
              <w:t xml:space="preserve">their </w:t>
            </w:r>
            <w:r w:rsidR="00EF087F">
              <w:rPr>
                <w:rFonts w:ascii="Times New Roman" w:hAnsi="Times New Roman" w:cs="Times New Roman"/>
                <w:iCs/>
                <w:sz w:val="22"/>
                <w:szCs w:val="22"/>
              </w:rPr>
              <w:t>course</w:t>
            </w:r>
            <w:r w:rsidR="009175F5">
              <w:rPr>
                <w:rFonts w:ascii="Times New Roman" w:hAnsi="Times New Roman" w:cs="Times New Roman"/>
                <w:iCs/>
                <w:sz w:val="22"/>
                <w:szCs w:val="22"/>
              </w:rPr>
              <w:t xml:space="preserve"> load</w:t>
            </w:r>
            <w:r w:rsidR="00EF087F">
              <w:rPr>
                <w:rFonts w:ascii="Times New Roman" w:hAnsi="Times New Roman" w:cs="Times New Roman"/>
                <w:iCs/>
                <w:sz w:val="22"/>
                <w:szCs w:val="22"/>
              </w:rPr>
              <w:t>, particularly while managing</w:t>
            </w:r>
            <w:r w:rsidR="002A7D17">
              <w:rPr>
                <w:rFonts w:ascii="Times New Roman" w:hAnsi="Times New Roman" w:cs="Times New Roman"/>
                <w:iCs/>
                <w:sz w:val="22"/>
                <w:szCs w:val="22"/>
              </w:rPr>
              <w:t xml:space="preserve"> competing interest (i.e. wo</w:t>
            </w:r>
            <w:r w:rsidR="00EF087F">
              <w:rPr>
                <w:rFonts w:ascii="Times New Roman" w:hAnsi="Times New Roman" w:cs="Times New Roman"/>
                <w:iCs/>
                <w:sz w:val="22"/>
                <w:szCs w:val="22"/>
              </w:rPr>
              <w:t>rk and family responsibilities)</w:t>
            </w:r>
            <w:r w:rsidR="001D58F4">
              <w:rPr>
                <w:rFonts w:ascii="Times New Roman" w:hAnsi="Times New Roman" w:cs="Times New Roman"/>
                <w:iCs/>
                <w:sz w:val="22"/>
                <w:szCs w:val="22"/>
              </w:rPr>
              <w:t xml:space="preserve">. </w:t>
            </w:r>
            <w:r w:rsidR="00744412">
              <w:rPr>
                <w:rFonts w:ascii="Times New Roman" w:hAnsi="Times New Roman" w:cs="Times New Roman"/>
                <w:iCs/>
                <w:sz w:val="22"/>
                <w:szCs w:val="22"/>
              </w:rPr>
              <w:t>Collectively, this strategy</w:t>
            </w:r>
            <w:r w:rsidR="002A7D17">
              <w:rPr>
                <w:rFonts w:ascii="Times New Roman" w:hAnsi="Times New Roman" w:cs="Times New Roman"/>
                <w:iCs/>
                <w:sz w:val="22"/>
                <w:szCs w:val="22"/>
              </w:rPr>
              <w:t xml:space="preserve"> shorten</w:t>
            </w:r>
            <w:r w:rsidR="009175F5">
              <w:rPr>
                <w:rFonts w:ascii="Times New Roman" w:hAnsi="Times New Roman" w:cs="Times New Roman"/>
                <w:iCs/>
                <w:sz w:val="22"/>
                <w:szCs w:val="22"/>
              </w:rPr>
              <w:t>s</w:t>
            </w:r>
            <w:r w:rsidR="002A7D17">
              <w:rPr>
                <w:rFonts w:ascii="Times New Roman" w:hAnsi="Times New Roman" w:cs="Times New Roman"/>
                <w:iCs/>
                <w:sz w:val="22"/>
                <w:szCs w:val="22"/>
              </w:rPr>
              <w:t xml:space="preserve"> time to </w:t>
            </w:r>
            <w:r w:rsidR="001D58F4">
              <w:rPr>
                <w:rFonts w:ascii="Times New Roman" w:hAnsi="Times New Roman" w:cs="Times New Roman"/>
                <w:iCs/>
                <w:sz w:val="22"/>
                <w:szCs w:val="22"/>
              </w:rPr>
              <w:t xml:space="preserve">the </w:t>
            </w:r>
            <w:r w:rsidR="002A7D17">
              <w:rPr>
                <w:rFonts w:ascii="Times New Roman" w:hAnsi="Times New Roman" w:cs="Times New Roman"/>
                <w:iCs/>
                <w:sz w:val="22"/>
                <w:szCs w:val="22"/>
              </w:rPr>
              <w:t>degr</w:t>
            </w:r>
            <w:r w:rsidR="00922862">
              <w:rPr>
                <w:rFonts w:ascii="Times New Roman" w:hAnsi="Times New Roman" w:cs="Times New Roman"/>
                <w:iCs/>
                <w:sz w:val="22"/>
                <w:szCs w:val="22"/>
              </w:rPr>
              <w:t>ee</w:t>
            </w:r>
            <w:r w:rsidR="001D58F4">
              <w:rPr>
                <w:rFonts w:ascii="Times New Roman" w:hAnsi="Times New Roman" w:cs="Times New Roman"/>
                <w:iCs/>
                <w:sz w:val="22"/>
                <w:szCs w:val="22"/>
              </w:rPr>
              <w:t xml:space="preserve"> and </w:t>
            </w:r>
            <w:r w:rsidR="009175F5">
              <w:rPr>
                <w:rFonts w:ascii="Times New Roman" w:hAnsi="Times New Roman" w:cs="Times New Roman"/>
                <w:iCs/>
                <w:sz w:val="22"/>
                <w:szCs w:val="22"/>
              </w:rPr>
              <w:t>increases</w:t>
            </w:r>
            <w:r w:rsidR="001D58F4">
              <w:rPr>
                <w:rFonts w:ascii="Times New Roman" w:hAnsi="Times New Roman" w:cs="Times New Roman"/>
                <w:iCs/>
                <w:sz w:val="22"/>
                <w:szCs w:val="22"/>
              </w:rPr>
              <w:t xml:space="preserve"> course/completion rates for adult learners at AMSC.</w:t>
            </w:r>
          </w:p>
        </w:tc>
      </w:tr>
      <w:tr w:rsidR="00706AFD" w:rsidRPr="00706AFD" w14:paraId="572FDBC3" w14:textId="77777777" w:rsidTr="00B87766">
        <w:tc>
          <w:tcPr>
            <w:tcW w:w="1980" w:type="dxa"/>
            <w:gridSpan w:val="2"/>
          </w:tcPr>
          <w:p w14:paraId="507B5F44" w14:textId="77777777" w:rsidR="00706AFD" w:rsidRPr="00706AFD" w:rsidRDefault="00706AFD" w:rsidP="007B7010">
            <w:pPr>
              <w:rPr>
                <w:rFonts w:ascii="Times New Roman" w:hAnsi="Times New Roman" w:cs="Times New Roman"/>
                <w:b/>
                <w:sz w:val="22"/>
              </w:rPr>
            </w:pPr>
            <w:r w:rsidRPr="00706AFD">
              <w:rPr>
                <w:rFonts w:ascii="Times New Roman" w:hAnsi="Times New Roman" w:cs="Times New Roman"/>
                <w:b/>
                <w:sz w:val="22"/>
              </w:rPr>
              <w:t>Primary Point of Contact</w:t>
            </w:r>
          </w:p>
        </w:tc>
        <w:tc>
          <w:tcPr>
            <w:tcW w:w="9540" w:type="dxa"/>
          </w:tcPr>
          <w:p w14:paraId="600C7C84" w14:textId="77777777" w:rsidR="00706AFD" w:rsidRPr="00706AFD" w:rsidRDefault="00706AFD" w:rsidP="00772FE3">
            <w:pPr>
              <w:contextualSpacing/>
              <w:rPr>
                <w:rFonts w:ascii="Times New Roman" w:hAnsi="Times New Roman" w:cs="Times New Roman"/>
                <w:sz w:val="22"/>
              </w:rPr>
            </w:pPr>
            <w:r w:rsidRPr="00706AFD">
              <w:rPr>
                <w:rFonts w:ascii="Times New Roman" w:hAnsi="Times New Roman" w:cs="Times New Roman"/>
                <w:sz w:val="22"/>
              </w:rPr>
              <w:t>Name: Dr. Kokila Ravi</w:t>
            </w:r>
          </w:p>
          <w:p w14:paraId="5A11B7C2" w14:textId="622F0FCE" w:rsidR="00706AFD" w:rsidRPr="00706AFD" w:rsidRDefault="00706AFD" w:rsidP="00772FE3">
            <w:pPr>
              <w:contextualSpacing/>
              <w:rPr>
                <w:rFonts w:ascii="Times New Roman" w:hAnsi="Times New Roman" w:cs="Times New Roman"/>
                <w:sz w:val="22"/>
              </w:rPr>
            </w:pPr>
            <w:r w:rsidRPr="00706AFD">
              <w:rPr>
                <w:rFonts w:ascii="Times New Roman" w:hAnsi="Times New Roman" w:cs="Times New Roman"/>
                <w:sz w:val="22"/>
              </w:rPr>
              <w:t xml:space="preserve">Title: </w:t>
            </w:r>
            <w:r w:rsidR="00EA0B58">
              <w:rPr>
                <w:rFonts w:ascii="Times New Roman" w:hAnsi="Times New Roman" w:cs="Times New Roman"/>
                <w:sz w:val="22"/>
              </w:rPr>
              <w:t xml:space="preserve">  </w:t>
            </w:r>
            <w:r w:rsidRPr="00706AFD">
              <w:rPr>
                <w:rFonts w:ascii="Times New Roman" w:hAnsi="Times New Roman" w:cs="Times New Roman"/>
                <w:sz w:val="22"/>
              </w:rPr>
              <w:t>Director for Distance Education and Specialized Programs</w:t>
            </w:r>
          </w:p>
          <w:p w14:paraId="42447456" w14:textId="2D775EEC" w:rsidR="00706AFD" w:rsidRPr="0006615A" w:rsidRDefault="00706AFD" w:rsidP="0006615A">
            <w:pPr>
              <w:contextualSpacing/>
              <w:rPr>
                <w:rFonts w:ascii="Times New Roman" w:hAnsi="Times New Roman" w:cs="Times New Roman"/>
                <w:sz w:val="22"/>
              </w:rPr>
            </w:pPr>
            <w:r w:rsidRPr="00706AFD">
              <w:rPr>
                <w:rFonts w:ascii="Times New Roman" w:hAnsi="Times New Roman" w:cs="Times New Roman"/>
                <w:sz w:val="22"/>
              </w:rPr>
              <w:t xml:space="preserve">Email: </w:t>
            </w:r>
            <w:hyperlink r:id="rId11" w:history="1">
              <w:r w:rsidRPr="00706AFD">
                <w:rPr>
                  <w:rFonts w:ascii="Times New Roman" w:hAnsi="Times New Roman" w:cs="Times New Roman"/>
                  <w:color w:val="0000FF" w:themeColor="hyperlink"/>
                  <w:sz w:val="22"/>
                  <w:u w:val="single"/>
                </w:rPr>
                <w:t>kravi@atlm.edu</w:t>
              </w:r>
            </w:hyperlink>
          </w:p>
        </w:tc>
      </w:tr>
      <w:tr w:rsidR="00706AFD" w:rsidRPr="00706AFD" w14:paraId="7E8C5B08" w14:textId="77777777" w:rsidTr="00B87766">
        <w:tc>
          <w:tcPr>
            <w:tcW w:w="1980" w:type="dxa"/>
            <w:gridSpan w:val="2"/>
          </w:tcPr>
          <w:p w14:paraId="620E9D7B" w14:textId="77777777" w:rsidR="00706AFD" w:rsidRPr="00706AFD" w:rsidRDefault="00706AFD" w:rsidP="007B7010">
            <w:pPr>
              <w:rPr>
                <w:rFonts w:ascii="Times New Roman" w:hAnsi="Times New Roman" w:cs="Times New Roman"/>
                <w:b/>
                <w:sz w:val="22"/>
              </w:rPr>
            </w:pPr>
            <w:r w:rsidRPr="00706AFD">
              <w:rPr>
                <w:rFonts w:ascii="Times New Roman" w:hAnsi="Times New Roman" w:cs="Times New Roman"/>
                <w:b/>
                <w:sz w:val="22"/>
              </w:rPr>
              <w:t>Summary of Activities</w:t>
            </w:r>
          </w:p>
        </w:tc>
        <w:tc>
          <w:tcPr>
            <w:tcW w:w="9540" w:type="dxa"/>
          </w:tcPr>
          <w:p w14:paraId="27D5E525" w14:textId="667D39DB" w:rsidR="00CB0927" w:rsidRDefault="00C572A5" w:rsidP="00C572A5">
            <w:pPr>
              <w:contextualSpacing/>
              <w:jc w:val="both"/>
              <w:rPr>
                <w:rFonts w:ascii="Times New Roman" w:hAnsi="Times New Roman" w:cs="Times New Roman"/>
                <w:color w:val="000000" w:themeColor="text1"/>
                <w:sz w:val="22"/>
                <w:u w:val="single"/>
              </w:rPr>
            </w:pPr>
            <w:r w:rsidRPr="00C572A5">
              <w:rPr>
                <w:rFonts w:ascii="Times New Roman" w:hAnsi="Times New Roman" w:cs="Times New Roman"/>
                <w:color w:val="000000" w:themeColor="text1"/>
                <w:sz w:val="22"/>
                <w:u w:val="single"/>
              </w:rPr>
              <w:t>The College</w:t>
            </w:r>
            <w:r w:rsidR="00986D30">
              <w:rPr>
                <w:rFonts w:ascii="Times New Roman" w:hAnsi="Times New Roman" w:cs="Times New Roman"/>
                <w:color w:val="000000" w:themeColor="text1"/>
                <w:sz w:val="22"/>
                <w:u w:val="single"/>
              </w:rPr>
              <w:t xml:space="preserve"> employed two</w:t>
            </w:r>
            <w:r>
              <w:rPr>
                <w:rFonts w:ascii="Times New Roman" w:hAnsi="Times New Roman" w:cs="Times New Roman"/>
                <w:color w:val="000000" w:themeColor="text1"/>
                <w:sz w:val="22"/>
                <w:u w:val="single"/>
              </w:rPr>
              <w:t xml:space="preserve"> primary activities to </w:t>
            </w:r>
            <w:r w:rsidR="00986D30">
              <w:rPr>
                <w:rFonts w:ascii="Times New Roman" w:hAnsi="Times New Roman" w:cs="Times New Roman"/>
                <w:color w:val="000000" w:themeColor="text1"/>
                <w:sz w:val="22"/>
                <w:u w:val="single"/>
              </w:rPr>
              <w:t>achieve this strategy:</w:t>
            </w:r>
          </w:p>
          <w:p w14:paraId="332B8EDA" w14:textId="77777777" w:rsidR="00C572A5" w:rsidRDefault="00C572A5" w:rsidP="00C572A5">
            <w:pPr>
              <w:contextualSpacing/>
              <w:jc w:val="both"/>
              <w:rPr>
                <w:rFonts w:ascii="Times New Roman" w:hAnsi="Times New Roman" w:cs="Times New Roman"/>
                <w:color w:val="000000" w:themeColor="text1"/>
                <w:sz w:val="22"/>
                <w:u w:val="single"/>
              </w:rPr>
            </w:pPr>
          </w:p>
          <w:p w14:paraId="29141C3C" w14:textId="6D217C1E" w:rsidR="00C572A5" w:rsidRDefault="00C572A5" w:rsidP="00C572A5">
            <w:pPr>
              <w:contextualSpacing/>
              <w:jc w:val="both"/>
              <w:rPr>
                <w:rFonts w:ascii="Times New Roman" w:hAnsi="Times New Roman" w:cs="Times New Roman"/>
                <w:color w:val="000000" w:themeColor="text1"/>
                <w:sz w:val="22"/>
              </w:rPr>
            </w:pPr>
            <w:r w:rsidRPr="00C572A5">
              <w:rPr>
                <w:rFonts w:ascii="Times New Roman" w:hAnsi="Times New Roman" w:cs="Times New Roman"/>
                <w:color w:val="000000" w:themeColor="text1"/>
                <w:sz w:val="22"/>
              </w:rPr>
              <w:t>(1) Provide</w:t>
            </w:r>
            <w:r w:rsidR="00986D30">
              <w:rPr>
                <w:rFonts w:ascii="Times New Roman" w:hAnsi="Times New Roman" w:cs="Times New Roman"/>
                <w:color w:val="000000" w:themeColor="text1"/>
                <w:sz w:val="22"/>
              </w:rPr>
              <w:t>d</w:t>
            </w:r>
            <w:r w:rsidRPr="00C572A5">
              <w:rPr>
                <w:rFonts w:ascii="Times New Roman" w:hAnsi="Times New Roman" w:cs="Times New Roman"/>
                <w:color w:val="000000" w:themeColor="text1"/>
                <w:sz w:val="22"/>
              </w:rPr>
              <w:t xml:space="preserve"> targeted com</w:t>
            </w:r>
            <w:r w:rsidR="00986D30">
              <w:rPr>
                <w:rFonts w:ascii="Times New Roman" w:hAnsi="Times New Roman" w:cs="Times New Roman"/>
                <w:color w:val="000000" w:themeColor="text1"/>
                <w:sz w:val="22"/>
              </w:rPr>
              <w:t>puter and technology support for</w:t>
            </w:r>
            <w:r w:rsidRPr="00C572A5">
              <w:rPr>
                <w:rFonts w:ascii="Times New Roman" w:hAnsi="Times New Roman" w:cs="Times New Roman"/>
                <w:color w:val="000000" w:themeColor="text1"/>
                <w:sz w:val="22"/>
              </w:rPr>
              <w:t xml:space="preserve"> adult learners, a major barrier to</w:t>
            </w:r>
            <w:r w:rsidR="00986D30">
              <w:rPr>
                <w:rFonts w:ascii="Times New Roman" w:hAnsi="Times New Roman" w:cs="Times New Roman"/>
                <w:color w:val="000000" w:themeColor="text1"/>
                <w:sz w:val="22"/>
              </w:rPr>
              <w:t xml:space="preserve"> many</w:t>
            </w:r>
            <w:r w:rsidRPr="00C572A5">
              <w:rPr>
                <w:rFonts w:ascii="Times New Roman" w:hAnsi="Times New Roman" w:cs="Times New Roman"/>
                <w:color w:val="000000" w:themeColor="text1"/>
                <w:sz w:val="22"/>
              </w:rPr>
              <w:t xml:space="preserve"> adult learners taking online courses</w:t>
            </w:r>
          </w:p>
          <w:p w14:paraId="6DB9FE98" w14:textId="13A598F1" w:rsidR="00C572A5" w:rsidRPr="00C572A5" w:rsidRDefault="00986D30" w:rsidP="00C572A5">
            <w:pPr>
              <w:contextualSpacing/>
              <w:jc w:val="both"/>
              <w:rPr>
                <w:rFonts w:ascii="Times New Roman" w:hAnsi="Times New Roman" w:cs="Times New Roman"/>
                <w:color w:val="000000" w:themeColor="text1"/>
                <w:sz w:val="22"/>
              </w:rPr>
            </w:pPr>
            <w:r>
              <w:rPr>
                <w:rFonts w:ascii="Times New Roman" w:hAnsi="Times New Roman" w:cs="Times New Roman"/>
                <w:color w:val="000000" w:themeColor="text1"/>
                <w:sz w:val="22"/>
              </w:rPr>
              <w:t>(2) Provided</w:t>
            </w:r>
            <w:r w:rsidR="00C572A5">
              <w:rPr>
                <w:rFonts w:ascii="Times New Roman" w:hAnsi="Times New Roman" w:cs="Times New Roman"/>
                <w:color w:val="000000" w:themeColor="text1"/>
                <w:sz w:val="22"/>
              </w:rPr>
              <w:t xml:space="preserve"> a variety of adult learner focused </w:t>
            </w:r>
            <w:r w:rsidR="00DE5C6B">
              <w:rPr>
                <w:rFonts w:ascii="Times New Roman" w:hAnsi="Times New Roman" w:cs="Times New Roman"/>
                <w:color w:val="000000" w:themeColor="text1"/>
                <w:sz w:val="22"/>
              </w:rPr>
              <w:t xml:space="preserve">or “friendly” </w:t>
            </w:r>
            <w:r w:rsidR="00C572A5">
              <w:rPr>
                <w:rFonts w:ascii="Times New Roman" w:hAnsi="Times New Roman" w:cs="Times New Roman"/>
                <w:color w:val="000000" w:themeColor="text1"/>
                <w:sz w:val="22"/>
              </w:rPr>
              <w:t>online course</w:t>
            </w:r>
            <w:r w:rsidR="001D58F4">
              <w:rPr>
                <w:rFonts w:ascii="Times New Roman" w:hAnsi="Times New Roman" w:cs="Times New Roman"/>
                <w:color w:val="000000" w:themeColor="text1"/>
                <w:sz w:val="22"/>
              </w:rPr>
              <w:t>s</w:t>
            </w:r>
            <w:r w:rsidR="00C572A5">
              <w:rPr>
                <w:rFonts w:ascii="Times New Roman" w:hAnsi="Times New Roman" w:cs="Times New Roman"/>
                <w:color w:val="000000" w:themeColor="text1"/>
                <w:sz w:val="22"/>
              </w:rPr>
              <w:t xml:space="preserve">. Note that these courses have the same rigor and content as other courses, </w:t>
            </w:r>
            <w:r>
              <w:rPr>
                <w:rFonts w:ascii="Times New Roman" w:hAnsi="Times New Roman" w:cs="Times New Roman"/>
                <w:color w:val="000000" w:themeColor="text1"/>
                <w:sz w:val="22"/>
              </w:rPr>
              <w:t xml:space="preserve">but vary in the pedagogical </w:t>
            </w:r>
            <w:r w:rsidR="00C572A5">
              <w:rPr>
                <w:rFonts w:ascii="Times New Roman" w:hAnsi="Times New Roman" w:cs="Times New Roman"/>
                <w:color w:val="000000" w:themeColor="text1"/>
                <w:sz w:val="22"/>
              </w:rPr>
              <w:t>needs specific to adult learners.</w:t>
            </w:r>
          </w:p>
          <w:p w14:paraId="433FB841" w14:textId="2C67DEAA" w:rsidR="00C572A5" w:rsidRPr="00C572A5" w:rsidRDefault="00C572A5" w:rsidP="00C572A5">
            <w:pPr>
              <w:contextualSpacing/>
              <w:jc w:val="both"/>
              <w:rPr>
                <w:rFonts w:ascii="Times New Roman" w:hAnsi="Times New Roman" w:cs="Times New Roman"/>
                <w:sz w:val="22"/>
              </w:rPr>
            </w:pPr>
          </w:p>
        </w:tc>
      </w:tr>
      <w:tr w:rsidR="00706AFD" w:rsidRPr="00706AFD" w14:paraId="69FA6BAE" w14:textId="77777777" w:rsidTr="00B87766">
        <w:trPr>
          <w:trHeight w:val="64"/>
        </w:trPr>
        <w:tc>
          <w:tcPr>
            <w:tcW w:w="11520" w:type="dxa"/>
            <w:gridSpan w:val="3"/>
          </w:tcPr>
          <w:p w14:paraId="698D3A17" w14:textId="53C4778F" w:rsidR="00706AFD" w:rsidRPr="00706AFD" w:rsidRDefault="00706AFD" w:rsidP="00D97A0A">
            <w:pPr>
              <w:rPr>
                <w:rFonts w:ascii="Times New Roman" w:hAnsi="Times New Roman" w:cs="Times New Roman"/>
                <w:i/>
                <w:sz w:val="22"/>
              </w:rPr>
            </w:pPr>
            <w:r w:rsidRPr="00706AFD">
              <w:rPr>
                <w:rFonts w:ascii="Times New Roman" w:hAnsi="Times New Roman" w:cs="Times New Roman"/>
                <w:b/>
                <w:sz w:val="22"/>
              </w:rPr>
              <w:t>Measures of Progress and Success</w:t>
            </w:r>
            <w:r w:rsidR="00CB0927">
              <w:rPr>
                <w:rFonts w:ascii="Times New Roman" w:hAnsi="Times New Roman" w:cs="Times New Roman"/>
                <w:b/>
                <w:sz w:val="22"/>
              </w:rPr>
              <w:t xml:space="preserve"> </w:t>
            </w:r>
            <w:r w:rsidR="00D97A0A" w:rsidRPr="00D97A0A">
              <w:rPr>
                <w:rFonts w:ascii="Times New Roman" w:hAnsi="Times New Roman" w:cs="Times New Roman"/>
                <w:sz w:val="22"/>
              </w:rPr>
              <w:t>- (Provided below)</w:t>
            </w:r>
          </w:p>
        </w:tc>
      </w:tr>
      <w:tr w:rsidR="00706AFD" w:rsidRPr="00706AFD" w14:paraId="0DC4328F" w14:textId="77777777" w:rsidTr="00B87766">
        <w:tc>
          <w:tcPr>
            <w:tcW w:w="1980" w:type="dxa"/>
            <w:gridSpan w:val="2"/>
          </w:tcPr>
          <w:p w14:paraId="4701DE8F" w14:textId="77777777" w:rsidR="00706AFD" w:rsidRPr="00706AFD" w:rsidRDefault="00706AFD" w:rsidP="007B7010">
            <w:pPr>
              <w:rPr>
                <w:rFonts w:ascii="Times New Roman" w:hAnsi="Times New Roman" w:cs="Times New Roman"/>
                <w:b/>
                <w:sz w:val="22"/>
              </w:rPr>
            </w:pPr>
            <w:r w:rsidRPr="00706AFD">
              <w:rPr>
                <w:rFonts w:ascii="Times New Roman" w:hAnsi="Times New Roman" w:cs="Times New Roman"/>
                <w:b/>
                <w:sz w:val="22"/>
              </w:rPr>
              <w:t>Measure, metric, or data element</w:t>
            </w:r>
          </w:p>
        </w:tc>
        <w:tc>
          <w:tcPr>
            <w:tcW w:w="9540" w:type="dxa"/>
          </w:tcPr>
          <w:p w14:paraId="42B0A559" w14:textId="2C382715" w:rsidR="00706AFD" w:rsidRPr="002329AA" w:rsidRDefault="00873CAA" w:rsidP="002329AA">
            <w:pPr>
              <w:spacing w:line="360" w:lineRule="auto"/>
              <w:rPr>
                <w:rFonts w:ascii="Times New Roman" w:hAnsi="Times New Roman" w:cs="Times New Roman"/>
                <w:i/>
                <w:color w:val="FF0000"/>
                <w:sz w:val="22"/>
              </w:rPr>
            </w:pPr>
            <w:r>
              <w:rPr>
                <w:rFonts w:ascii="Times New Roman" w:hAnsi="Times New Roman" w:cs="Times New Roman"/>
                <w:sz w:val="22"/>
              </w:rPr>
              <w:t>(Indicated Below)</w:t>
            </w:r>
          </w:p>
        </w:tc>
      </w:tr>
      <w:tr w:rsidR="00706AFD" w:rsidRPr="00706AFD" w14:paraId="241F95BC" w14:textId="77777777" w:rsidTr="00B87766">
        <w:tc>
          <w:tcPr>
            <w:tcW w:w="540" w:type="dxa"/>
            <w:vMerge w:val="restart"/>
          </w:tcPr>
          <w:p w14:paraId="3AD448A7" w14:textId="77777777" w:rsidR="00706AFD" w:rsidRPr="00706AFD" w:rsidRDefault="00706AFD" w:rsidP="00706AFD">
            <w:pPr>
              <w:spacing w:line="360" w:lineRule="auto"/>
              <w:rPr>
                <w:rFonts w:ascii="Times New Roman" w:hAnsi="Times New Roman" w:cs="Times New Roman"/>
                <w:b/>
                <w:sz w:val="22"/>
              </w:rPr>
            </w:pPr>
          </w:p>
        </w:tc>
        <w:tc>
          <w:tcPr>
            <w:tcW w:w="1440" w:type="dxa"/>
          </w:tcPr>
          <w:p w14:paraId="7CF40B0D" w14:textId="77777777" w:rsidR="00706AFD" w:rsidRPr="00706AFD" w:rsidRDefault="00706AFD" w:rsidP="007B7010">
            <w:pPr>
              <w:rPr>
                <w:rFonts w:ascii="Times New Roman" w:hAnsi="Times New Roman" w:cs="Times New Roman"/>
                <w:b/>
                <w:sz w:val="22"/>
              </w:rPr>
            </w:pPr>
            <w:r w:rsidRPr="00706AFD">
              <w:rPr>
                <w:rFonts w:ascii="Times New Roman" w:hAnsi="Times New Roman" w:cs="Times New Roman"/>
                <w:b/>
                <w:sz w:val="22"/>
              </w:rPr>
              <w:t>Baseline measures</w:t>
            </w:r>
          </w:p>
        </w:tc>
        <w:tc>
          <w:tcPr>
            <w:tcW w:w="9540" w:type="dxa"/>
          </w:tcPr>
          <w:p w14:paraId="155AC499" w14:textId="5634E265" w:rsidR="005F01B2" w:rsidRPr="005F01B2" w:rsidRDefault="005F01B2" w:rsidP="005F01B2">
            <w:pPr>
              <w:ind w:left="1080" w:hanging="1075"/>
              <w:contextualSpacing/>
              <w:rPr>
                <w:rFonts w:ascii="Times New Roman" w:hAnsi="Times New Roman" w:cs="Times New Roman"/>
                <w:i/>
                <w:color w:val="FF6600"/>
                <w:sz w:val="22"/>
              </w:rPr>
            </w:pPr>
            <w:r w:rsidRPr="005F01B2">
              <w:rPr>
                <w:rFonts w:ascii="Times New Roman" w:hAnsi="Times New Roman" w:cs="Times New Roman"/>
                <w:i/>
                <w:color w:val="FF6600"/>
                <w:sz w:val="22"/>
              </w:rPr>
              <w:t xml:space="preserve">Fall 2015 </w:t>
            </w:r>
          </w:p>
          <w:p w14:paraId="78DF9D08" w14:textId="2F752AF9" w:rsidR="00706AFD" w:rsidRPr="00706AFD" w:rsidRDefault="005F01B2" w:rsidP="0073460D">
            <w:pPr>
              <w:numPr>
                <w:ilvl w:val="1"/>
                <w:numId w:val="6"/>
              </w:numPr>
              <w:contextualSpacing/>
              <w:rPr>
                <w:rFonts w:ascii="Times New Roman" w:hAnsi="Times New Roman" w:cs="Times New Roman"/>
                <w:sz w:val="22"/>
              </w:rPr>
            </w:pPr>
            <w:r>
              <w:rPr>
                <w:rFonts w:ascii="Times New Roman" w:hAnsi="Times New Roman" w:cs="Times New Roman"/>
                <w:sz w:val="22"/>
              </w:rPr>
              <w:t xml:space="preserve">Number </w:t>
            </w:r>
            <w:r w:rsidR="008D4D98">
              <w:rPr>
                <w:rFonts w:ascii="Times New Roman" w:hAnsi="Times New Roman" w:cs="Times New Roman"/>
                <w:sz w:val="22"/>
              </w:rPr>
              <w:t xml:space="preserve">Adult </w:t>
            </w:r>
            <w:r w:rsidR="00F27C65">
              <w:rPr>
                <w:rFonts w:ascii="Times New Roman" w:hAnsi="Times New Roman" w:cs="Times New Roman"/>
                <w:sz w:val="22"/>
              </w:rPr>
              <w:t xml:space="preserve">Learners Percentage </w:t>
            </w:r>
            <w:r w:rsidR="002329AA">
              <w:rPr>
                <w:rFonts w:ascii="Times New Roman" w:hAnsi="Times New Roman" w:cs="Times New Roman"/>
                <w:sz w:val="22"/>
              </w:rPr>
              <w:t>Enrollment</w:t>
            </w:r>
            <w:r w:rsidR="008D4D98">
              <w:rPr>
                <w:rFonts w:ascii="Times New Roman" w:hAnsi="Times New Roman" w:cs="Times New Roman"/>
                <w:sz w:val="22"/>
              </w:rPr>
              <w:t xml:space="preserve"> in Online Course</w:t>
            </w:r>
            <w:r w:rsidR="009A4439">
              <w:rPr>
                <w:rFonts w:ascii="Times New Roman" w:hAnsi="Times New Roman" w:cs="Times New Roman"/>
                <w:sz w:val="22"/>
              </w:rPr>
              <w:t>s</w:t>
            </w:r>
            <w:r w:rsidR="008D4D98">
              <w:rPr>
                <w:rFonts w:ascii="Times New Roman" w:hAnsi="Times New Roman" w:cs="Times New Roman"/>
                <w:sz w:val="22"/>
              </w:rPr>
              <w:t xml:space="preserve">: </w:t>
            </w:r>
            <w:r w:rsidR="00C40B92">
              <w:rPr>
                <w:rFonts w:ascii="Times New Roman" w:hAnsi="Times New Roman" w:cs="Times New Roman"/>
                <w:sz w:val="22"/>
              </w:rPr>
              <w:t xml:space="preserve"> </w:t>
            </w:r>
            <w:r w:rsidR="009A4439">
              <w:rPr>
                <w:rFonts w:ascii="Times New Roman" w:hAnsi="Times New Roman" w:cs="Times New Roman"/>
                <w:sz w:val="22"/>
              </w:rPr>
              <w:t>702 (58% of online headcount</w:t>
            </w:r>
            <w:r>
              <w:rPr>
                <w:rFonts w:ascii="Times New Roman" w:hAnsi="Times New Roman" w:cs="Times New Roman"/>
                <w:sz w:val="22"/>
              </w:rPr>
              <w:t xml:space="preserve">) </w:t>
            </w:r>
          </w:p>
          <w:p w14:paraId="252F56BF" w14:textId="16BC1F5A" w:rsidR="00706AFD" w:rsidRPr="00DE5C6B" w:rsidRDefault="005F01B2" w:rsidP="00DE5C6B">
            <w:pPr>
              <w:numPr>
                <w:ilvl w:val="1"/>
                <w:numId w:val="6"/>
              </w:numPr>
              <w:contextualSpacing/>
              <w:rPr>
                <w:rFonts w:ascii="Times New Roman" w:hAnsi="Times New Roman" w:cs="Times New Roman"/>
                <w:sz w:val="22"/>
              </w:rPr>
            </w:pPr>
            <w:r>
              <w:rPr>
                <w:rFonts w:ascii="Times New Roman" w:hAnsi="Times New Roman" w:cs="Times New Roman"/>
                <w:sz w:val="22"/>
              </w:rPr>
              <w:t>Pass Rates</w:t>
            </w:r>
            <w:r w:rsidR="009A4439">
              <w:rPr>
                <w:rFonts w:ascii="Times New Roman" w:hAnsi="Times New Roman" w:cs="Times New Roman"/>
                <w:sz w:val="22"/>
              </w:rPr>
              <w:t xml:space="preserve"> (Adult Learners online)</w:t>
            </w:r>
            <w:r>
              <w:rPr>
                <w:rFonts w:ascii="Times New Roman" w:hAnsi="Times New Roman" w:cs="Times New Roman"/>
                <w:sz w:val="22"/>
              </w:rPr>
              <w:t>: 63%</w:t>
            </w:r>
            <w:r w:rsidR="009A4439">
              <w:rPr>
                <w:rFonts w:ascii="Times New Roman" w:hAnsi="Times New Roman" w:cs="Times New Roman"/>
                <w:sz w:val="22"/>
              </w:rPr>
              <w:t xml:space="preserve"> </w:t>
            </w:r>
            <w:r>
              <w:rPr>
                <w:rFonts w:ascii="Times New Roman" w:hAnsi="Times New Roman" w:cs="Times New Roman"/>
                <w:sz w:val="22"/>
              </w:rPr>
              <w:t xml:space="preserve"> </w:t>
            </w:r>
            <w:r w:rsidRPr="00DE5C6B">
              <w:rPr>
                <w:rFonts w:ascii="Times New Roman" w:hAnsi="Times New Roman" w:cs="Times New Roman"/>
                <w:sz w:val="22"/>
              </w:rPr>
              <w:t xml:space="preserve"> </w:t>
            </w:r>
          </w:p>
        </w:tc>
      </w:tr>
      <w:tr w:rsidR="00706AFD" w:rsidRPr="00706AFD" w14:paraId="4BC31A88" w14:textId="77777777" w:rsidTr="00B87766">
        <w:tc>
          <w:tcPr>
            <w:tcW w:w="540" w:type="dxa"/>
            <w:vMerge/>
          </w:tcPr>
          <w:p w14:paraId="6AC0178C" w14:textId="77777777" w:rsidR="00706AFD" w:rsidRPr="00706AFD" w:rsidRDefault="00706AFD" w:rsidP="00706AFD">
            <w:pPr>
              <w:spacing w:line="360" w:lineRule="auto"/>
              <w:rPr>
                <w:rFonts w:ascii="Times New Roman" w:hAnsi="Times New Roman" w:cs="Times New Roman"/>
                <w:b/>
                <w:sz w:val="22"/>
              </w:rPr>
            </w:pPr>
          </w:p>
        </w:tc>
        <w:tc>
          <w:tcPr>
            <w:tcW w:w="1440" w:type="dxa"/>
          </w:tcPr>
          <w:p w14:paraId="66545649" w14:textId="77777777" w:rsidR="00706AFD" w:rsidRPr="00706AFD" w:rsidRDefault="00706AFD" w:rsidP="007B7010">
            <w:pPr>
              <w:rPr>
                <w:rFonts w:ascii="Times New Roman" w:hAnsi="Times New Roman" w:cs="Times New Roman"/>
                <w:b/>
                <w:sz w:val="22"/>
              </w:rPr>
            </w:pPr>
            <w:r w:rsidRPr="00706AFD">
              <w:rPr>
                <w:rFonts w:ascii="Times New Roman" w:hAnsi="Times New Roman" w:cs="Times New Roman"/>
                <w:b/>
                <w:sz w:val="22"/>
              </w:rPr>
              <w:t>Interim Measures of Progress</w:t>
            </w:r>
          </w:p>
        </w:tc>
        <w:tc>
          <w:tcPr>
            <w:tcW w:w="9540" w:type="dxa"/>
          </w:tcPr>
          <w:p w14:paraId="4C7F1519" w14:textId="60DF4D68" w:rsidR="00706AFD" w:rsidRPr="00706AFD" w:rsidRDefault="005F01B2" w:rsidP="00706AFD">
            <w:pPr>
              <w:spacing w:line="360" w:lineRule="auto"/>
              <w:rPr>
                <w:rFonts w:ascii="Times New Roman" w:hAnsi="Times New Roman" w:cs="Times New Roman"/>
                <w:i/>
                <w:color w:val="FF0000"/>
                <w:sz w:val="22"/>
              </w:rPr>
            </w:pPr>
            <w:r>
              <w:rPr>
                <w:rFonts w:ascii="Times New Roman" w:hAnsi="Times New Roman" w:cs="Times New Roman"/>
                <w:i/>
                <w:color w:val="FF0000"/>
                <w:sz w:val="22"/>
              </w:rPr>
              <w:t>Fall 2016</w:t>
            </w:r>
          </w:p>
          <w:p w14:paraId="0AC9D8D6" w14:textId="0FB729C9" w:rsidR="00F27C65" w:rsidRPr="00706AFD" w:rsidRDefault="005F01B2" w:rsidP="00F27C65">
            <w:pPr>
              <w:numPr>
                <w:ilvl w:val="1"/>
                <w:numId w:val="6"/>
              </w:numPr>
              <w:contextualSpacing/>
              <w:rPr>
                <w:rFonts w:ascii="Times New Roman" w:hAnsi="Times New Roman" w:cs="Times New Roman"/>
                <w:sz w:val="22"/>
              </w:rPr>
            </w:pPr>
            <w:r>
              <w:rPr>
                <w:rFonts w:ascii="Times New Roman" w:hAnsi="Times New Roman" w:cs="Times New Roman"/>
                <w:sz w:val="22"/>
              </w:rPr>
              <w:t xml:space="preserve">Number </w:t>
            </w:r>
            <w:r w:rsidR="009A4439">
              <w:rPr>
                <w:rFonts w:ascii="Times New Roman" w:hAnsi="Times New Roman" w:cs="Times New Roman"/>
                <w:sz w:val="22"/>
              </w:rPr>
              <w:t>Adult Learners Online Headcount:  546 (54% of online headcount</w:t>
            </w:r>
            <w:r>
              <w:rPr>
                <w:rFonts w:ascii="Times New Roman" w:hAnsi="Times New Roman" w:cs="Times New Roman"/>
                <w:sz w:val="22"/>
              </w:rPr>
              <w:t>)</w:t>
            </w:r>
          </w:p>
          <w:p w14:paraId="32BE5B58" w14:textId="3EC32FBC" w:rsidR="00706AFD" w:rsidRPr="00DE5C6B" w:rsidRDefault="009A4439" w:rsidP="00DE5C6B">
            <w:pPr>
              <w:numPr>
                <w:ilvl w:val="1"/>
                <w:numId w:val="6"/>
              </w:numPr>
              <w:contextualSpacing/>
              <w:rPr>
                <w:rFonts w:ascii="Times New Roman" w:hAnsi="Times New Roman" w:cs="Times New Roman"/>
                <w:sz w:val="22"/>
              </w:rPr>
            </w:pPr>
            <w:r>
              <w:rPr>
                <w:rFonts w:ascii="Times New Roman" w:hAnsi="Times New Roman" w:cs="Times New Roman"/>
                <w:sz w:val="22"/>
              </w:rPr>
              <w:t xml:space="preserve">Pass rate (Adult learners online): 61% </w:t>
            </w:r>
            <w:r w:rsidR="005F01B2" w:rsidRPr="00DE5C6B">
              <w:rPr>
                <w:rFonts w:ascii="Times New Roman" w:hAnsi="Times New Roman" w:cs="Times New Roman"/>
                <w:sz w:val="22"/>
              </w:rPr>
              <w:t xml:space="preserve"> </w:t>
            </w:r>
          </w:p>
        </w:tc>
      </w:tr>
      <w:tr w:rsidR="00706AFD" w:rsidRPr="00706AFD" w14:paraId="1A7AE5A7" w14:textId="77777777" w:rsidTr="00B87766">
        <w:tc>
          <w:tcPr>
            <w:tcW w:w="540" w:type="dxa"/>
            <w:vMerge/>
          </w:tcPr>
          <w:p w14:paraId="16DDABE6" w14:textId="77777777" w:rsidR="00706AFD" w:rsidRPr="00706AFD" w:rsidRDefault="00706AFD" w:rsidP="00706AFD">
            <w:pPr>
              <w:spacing w:line="360" w:lineRule="auto"/>
              <w:rPr>
                <w:rFonts w:ascii="Times New Roman" w:hAnsi="Times New Roman" w:cs="Times New Roman"/>
                <w:b/>
                <w:sz w:val="22"/>
              </w:rPr>
            </w:pPr>
          </w:p>
        </w:tc>
        <w:tc>
          <w:tcPr>
            <w:tcW w:w="1440" w:type="dxa"/>
          </w:tcPr>
          <w:p w14:paraId="51185DE3" w14:textId="77777777" w:rsidR="00706AFD" w:rsidRPr="00706AFD" w:rsidRDefault="00706AFD" w:rsidP="00706AFD">
            <w:pPr>
              <w:spacing w:line="360" w:lineRule="auto"/>
              <w:rPr>
                <w:rFonts w:ascii="Times New Roman" w:hAnsi="Times New Roman" w:cs="Times New Roman"/>
                <w:b/>
                <w:sz w:val="22"/>
              </w:rPr>
            </w:pPr>
            <w:r w:rsidRPr="00706AFD">
              <w:rPr>
                <w:rFonts w:ascii="Times New Roman" w:hAnsi="Times New Roman" w:cs="Times New Roman"/>
                <w:b/>
                <w:sz w:val="22"/>
              </w:rPr>
              <w:t>Measures of Success</w:t>
            </w:r>
          </w:p>
        </w:tc>
        <w:tc>
          <w:tcPr>
            <w:tcW w:w="9540" w:type="dxa"/>
          </w:tcPr>
          <w:p w14:paraId="7DA1D952" w14:textId="147AA3BB" w:rsidR="009A4439" w:rsidRPr="00433FE9" w:rsidRDefault="009A4439" w:rsidP="009A4439">
            <w:pPr>
              <w:rPr>
                <w:rFonts w:ascii="Times New Roman" w:hAnsi="Times New Roman" w:cs="Times New Roman"/>
                <w:b/>
                <w:sz w:val="22"/>
              </w:rPr>
            </w:pPr>
            <w:r w:rsidRPr="00433FE9">
              <w:rPr>
                <w:rFonts w:ascii="Times New Roman" w:hAnsi="Times New Roman" w:cs="Times New Roman"/>
                <w:b/>
                <w:sz w:val="22"/>
              </w:rPr>
              <w:t>2025</w:t>
            </w:r>
            <w:r w:rsidR="00433FE9" w:rsidRPr="00433FE9">
              <w:rPr>
                <w:rFonts w:ascii="Times New Roman" w:hAnsi="Times New Roman" w:cs="Times New Roman"/>
                <w:b/>
                <w:sz w:val="22"/>
              </w:rPr>
              <w:t xml:space="preserve"> Target</w:t>
            </w:r>
          </w:p>
          <w:p w14:paraId="7E391B61" w14:textId="7B479C4E" w:rsidR="009A4439" w:rsidRPr="009A4439" w:rsidRDefault="009A4439" w:rsidP="009A4439">
            <w:pPr>
              <w:pStyle w:val="ListParagraph"/>
              <w:numPr>
                <w:ilvl w:val="0"/>
                <w:numId w:val="10"/>
              </w:numPr>
              <w:ind w:left="1085"/>
              <w:rPr>
                <w:rFonts w:ascii="Times New Roman" w:hAnsi="Times New Roman" w:cs="Times New Roman"/>
                <w:sz w:val="22"/>
              </w:rPr>
            </w:pPr>
            <w:r w:rsidRPr="009A4439">
              <w:rPr>
                <w:rFonts w:ascii="Times New Roman" w:hAnsi="Times New Roman" w:cs="Times New Roman"/>
                <w:sz w:val="22"/>
              </w:rPr>
              <w:t>Number Adult Learners Online Headcount: At least 50% of total online headcount</w:t>
            </w:r>
          </w:p>
          <w:p w14:paraId="79505933" w14:textId="3A8375C5" w:rsidR="00706AFD" w:rsidRPr="001D58F4" w:rsidRDefault="009A4439" w:rsidP="001D58F4">
            <w:pPr>
              <w:pStyle w:val="ListParagraph"/>
              <w:numPr>
                <w:ilvl w:val="0"/>
                <w:numId w:val="10"/>
              </w:numPr>
              <w:tabs>
                <w:tab w:val="left" w:pos="1085"/>
              </w:tabs>
              <w:ind w:firstLine="5"/>
              <w:rPr>
                <w:rFonts w:ascii="Times New Roman" w:hAnsi="Times New Roman" w:cs="Times New Roman"/>
                <w:sz w:val="22"/>
              </w:rPr>
            </w:pPr>
            <w:r w:rsidRPr="009A4439">
              <w:rPr>
                <w:rFonts w:ascii="Times New Roman" w:hAnsi="Times New Roman" w:cs="Times New Roman"/>
                <w:sz w:val="22"/>
              </w:rPr>
              <w:t>Pass rate</w:t>
            </w:r>
            <w:r>
              <w:rPr>
                <w:rFonts w:ascii="Times New Roman" w:hAnsi="Times New Roman" w:cs="Times New Roman"/>
                <w:sz w:val="22"/>
              </w:rPr>
              <w:t xml:space="preserve"> (Adult Learners online)</w:t>
            </w:r>
            <w:r w:rsidRPr="009A4439">
              <w:rPr>
                <w:rFonts w:ascii="Times New Roman" w:hAnsi="Times New Roman" w:cs="Times New Roman"/>
                <w:sz w:val="22"/>
              </w:rPr>
              <w:t>:</w:t>
            </w:r>
            <w:r w:rsidRPr="009A4439">
              <w:rPr>
                <w:rFonts w:ascii="Times New Roman" w:hAnsi="Times New Roman" w:cs="Times New Roman"/>
                <w:b/>
                <w:sz w:val="22"/>
              </w:rPr>
              <w:t xml:space="preserve"> </w:t>
            </w:r>
            <w:r w:rsidR="000D60E6" w:rsidRPr="009A4439">
              <w:rPr>
                <w:rFonts w:ascii="Times New Roman" w:hAnsi="Times New Roman" w:cs="Times New Roman"/>
                <w:sz w:val="22"/>
              </w:rPr>
              <w:t>Increase pass rate 3%</w:t>
            </w:r>
            <w:r>
              <w:rPr>
                <w:rFonts w:ascii="Times New Roman" w:hAnsi="Times New Roman" w:cs="Times New Roman"/>
                <w:sz w:val="22"/>
              </w:rPr>
              <w:t xml:space="preserve"> </w:t>
            </w:r>
            <w:r w:rsidR="000D60E6" w:rsidRPr="009A4439">
              <w:rPr>
                <w:rFonts w:ascii="Times New Roman" w:hAnsi="Times New Roman" w:cs="Times New Roman"/>
                <w:sz w:val="22"/>
              </w:rPr>
              <w:t xml:space="preserve"> (two-year moving average)</w:t>
            </w:r>
          </w:p>
        </w:tc>
      </w:tr>
      <w:tr w:rsidR="00706AFD" w:rsidRPr="00706AFD" w14:paraId="0C9D0EBB" w14:textId="77777777" w:rsidTr="00B87766">
        <w:tc>
          <w:tcPr>
            <w:tcW w:w="1980" w:type="dxa"/>
            <w:gridSpan w:val="2"/>
          </w:tcPr>
          <w:p w14:paraId="77C8EF56" w14:textId="77777777" w:rsidR="00706AFD" w:rsidRPr="00706AFD" w:rsidRDefault="00706AFD" w:rsidP="00706AFD">
            <w:pPr>
              <w:spacing w:line="360" w:lineRule="auto"/>
              <w:rPr>
                <w:rFonts w:ascii="Times New Roman" w:hAnsi="Times New Roman" w:cs="Times New Roman"/>
                <w:b/>
                <w:sz w:val="22"/>
              </w:rPr>
            </w:pPr>
            <w:r w:rsidRPr="00706AFD">
              <w:rPr>
                <w:rFonts w:ascii="Times New Roman" w:hAnsi="Times New Roman" w:cs="Times New Roman"/>
                <w:b/>
                <w:sz w:val="22"/>
              </w:rPr>
              <w:t>Lessons Learned</w:t>
            </w:r>
          </w:p>
        </w:tc>
        <w:tc>
          <w:tcPr>
            <w:tcW w:w="9540" w:type="dxa"/>
          </w:tcPr>
          <w:p w14:paraId="7C229B6E" w14:textId="77777777" w:rsidR="00AB5768" w:rsidRDefault="00AB5768" w:rsidP="0006615A">
            <w:pPr>
              <w:contextualSpacing/>
              <w:jc w:val="both"/>
              <w:rPr>
                <w:rFonts w:ascii="Times New Roman" w:hAnsi="Times New Roman" w:cs="Times New Roman"/>
                <w:sz w:val="22"/>
              </w:rPr>
            </w:pPr>
          </w:p>
          <w:p w14:paraId="77865907" w14:textId="5944AAED" w:rsidR="00EB2260" w:rsidRDefault="00540B64" w:rsidP="0006615A">
            <w:pPr>
              <w:contextualSpacing/>
              <w:jc w:val="both"/>
              <w:rPr>
                <w:rFonts w:ascii="Times New Roman" w:hAnsi="Times New Roman" w:cs="Times New Roman"/>
                <w:sz w:val="22"/>
              </w:rPr>
            </w:pPr>
            <w:r>
              <w:rPr>
                <w:rFonts w:ascii="Times New Roman" w:hAnsi="Times New Roman" w:cs="Times New Roman"/>
                <w:sz w:val="22"/>
              </w:rPr>
              <w:t>T</w:t>
            </w:r>
            <w:r w:rsidR="00EB2260">
              <w:rPr>
                <w:rFonts w:ascii="Times New Roman" w:hAnsi="Times New Roman" w:cs="Times New Roman"/>
                <w:sz w:val="22"/>
              </w:rPr>
              <w:t xml:space="preserve">he </w:t>
            </w:r>
            <w:r w:rsidR="00D00E52">
              <w:rPr>
                <w:rFonts w:ascii="Times New Roman" w:hAnsi="Times New Roman" w:cs="Times New Roman"/>
                <w:sz w:val="22"/>
              </w:rPr>
              <w:t>adult learners</w:t>
            </w:r>
            <w:r w:rsidR="009C0381">
              <w:rPr>
                <w:rFonts w:ascii="Times New Roman" w:hAnsi="Times New Roman" w:cs="Times New Roman"/>
                <w:sz w:val="22"/>
              </w:rPr>
              <w:t xml:space="preserve"> online percentage </w:t>
            </w:r>
            <w:r w:rsidR="00F42263">
              <w:rPr>
                <w:rFonts w:ascii="Times New Roman" w:hAnsi="Times New Roman" w:cs="Times New Roman"/>
                <w:sz w:val="22"/>
              </w:rPr>
              <w:t xml:space="preserve">headcount and pass rate </w:t>
            </w:r>
            <w:r w:rsidR="00EB2260">
              <w:rPr>
                <w:rFonts w:ascii="Times New Roman" w:hAnsi="Times New Roman" w:cs="Times New Roman"/>
                <w:sz w:val="22"/>
              </w:rPr>
              <w:t>dropped slightl</w:t>
            </w:r>
            <w:r w:rsidR="009C0381">
              <w:rPr>
                <w:rFonts w:ascii="Times New Roman" w:hAnsi="Times New Roman" w:cs="Times New Roman"/>
                <w:sz w:val="22"/>
              </w:rPr>
              <w:t>y</w:t>
            </w:r>
            <w:r w:rsidR="00D00E52">
              <w:rPr>
                <w:rFonts w:ascii="Times New Roman" w:hAnsi="Times New Roman" w:cs="Times New Roman"/>
                <w:sz w:val="22"/>
              </w:rPr>
              <w:t xml:space="preserve"> when compared to</w:t>
            </w:r>
            <w:r w:rsidR="00655BF8">
              <w:rPr>
                <w:rFonts w:ascii="Times New Roman" w:hAnsi="Times New Roman" w:cs="Times New Roman"/>
                <w:sz w:val="22"/>
              </w:rPr>
              <w:t xml:space="preserve"> those from the</w:t>
            </w:r>
            <w:r w:rsidR="00D00E52">
              <w:rPr>
                <w:rFonts w:ascii="Times New Roman" w:hAnsi="Times New Roman" w:cs="Times New Roman"/>
                <w:sz w:val="22"/>
              </w:rPr>
              <w:t xml:space="preserve"> previous year. </w:t>
            </w:r>
            <w:r w:rsidR="00481610">
              <w:rPr>
                <w:rFonts w:ascii="Times New Roman" w:hAnsi="Times New Roman" w:cs="Times New Roman"/>
                <w:sz w:val="22"/>
              </w:rPr>
              <w:t>When disaggregating these results, the College discovered that certain online course</w:t>
            </w:r>
            <w:r>
              <w:rPr>
                <w:rFonts w:ascii="Times New Roman" w:hAnsi="Times New Roman" w:cs="Times New Roman"/>
                <w:sz w:val="22"/>
              </w:rPr>
              <w:t>s</w:t>
            </w:r>
            <w:r w:rsidR="00481610">
              <w:rPr>
                <w:rFonts w:ascii="Times New Roman" w:hAnsi="Times New Roman" w:cs="Times New Roman"/>
                <w:sz w:val="22"/>
              </w:rPr>
              <w:t xml:space="preserve"> are prominent in driving the current results.  AMSC</w:t>
            </w:r>
            <w:r w:rsidR="00D00E52">
              <w:rPr>
                <w:rFonts w:ascii="Times New Roman" w:hAnsi="Times New Roman" w:cs="Times New Roman"/>
                <w:sz w:val="22"/>
              </w:rPr>
              <w:t xml:space="preserve"> offers several online </w:t>
            </w:r>
            <w:r w:rsidR="00655BF8">
              <w:rPr>
                <w:rFonts w:ascii="Times New Roman" w:hAnsi="Times New Roman" w:cs="Times New Roman"/>
                <w:sz w:val="22"/>
              </w:rPr>
              <w:t>“</w:t>
            </w:r>
            <w:r w:rsidR="00D00E52">
              <w:rPr>
                <w:rFonts w:ascii="Times New Roman" w:hAnsi="Times New Roman" w:cs="Times New Roman"/>
                <w:sz w:val="22"/>
              </w:rPr>
              <w:t>Adult Learners Friendly</w:t>
            </w:r>
            <w:r w:rsidR="00655BF8">
              <w:rPr>
                <w:rFonts w:ascii="Times New Roman" w:hAnsi="Times New Roman" w:cs="Times New Roman"/>
                <w:sz w:val="22"/>
              </w:rPr>
              <w:t>”</w:t>
            </w:r>
            <w:r w:rsidR="00D00E52">
              <w:rPr>
                <w:rFonts w:ascii="Times New Roman" w:hAnsi="Times New Roman" w:cs="Times New Roman"/>
                <w:sz w:val="22"/>
              </w:rPr>
              <w:t xml:space="preserve"> courses, including: Math, English, First Year Experience, AMIR, History, Political Scienc</w:t>
            </w:r>
            <w:r w:rsidR="00481610">
              <w:rPr>
                <w:rFonts w:ascii="Times New Roman" w:hAnsi="Times New Roman" w:cs="Times New Roman"/>
                <w:sz w:val="22"/>
              </w:rPr>
              <w:t xml:space="preserve">e, and Business Administration. As expected, </w:t>
            </w:r>
            <w:r w:rsidR="00D00E52">
              <w:rPr>
                <w:rFonts w:ascii="Times New Roman" w:hAnsi="Times New Roman" w:cs="Times New Roman"/>
                <w:sz w:val="22"/>
              </w:rPr>
              <w:t>Math, Business Administration, and English</w:t>
            </w:r>
            <w:r w:rsidR="00481610">
              <w:rPr>
                <w:rFonts w:ascii="Times New Roman" w:hAnsi="Times New Roman" w:cs="Times New Roman"/>
                <w:sz w:val="22"/>
              </w:rPr>
              <w:t xml:space="preserve"> courses have </w:t>
            </w:r>
            <w:r w:rsidR="00D00E52">
              <w:rPr>
                <w:rFonts w:ascii="Times New Roman" w:hAnsi="Times New Roman" w:cs="Times New Roman"/>
                <w:sz w:val="22"/>
              </w:rPr>
              <w:t xml:space="preserve">lower </w:t>
            </w:r>
            <w:r w:rsidR="00655BF8">
              <w:rPr>
                <w:rFonts w:ascii="Times New Roman" w:hAnsi="Times New Roman" w:cs="Times New Roman"/>
                <w:sz w:val="22"/>
              </w:rPr>
              <w:t>course success</w:t>
            </w:r>
            <w:r w:rsidR="00D00E52">
              <w:rPr>
                <w:rFonts w:ascii="Times New Roman" w:hAnsi="Times New Roman" w:cs="Times New Roman"/>
                <w:sz w:val="22"/>
              </w:rPr>
              <w:t xml:space="preserve"> rates</w:t>
            </w:r>
            <w:r w:rsidR="00481610">
              <w:rPr>
                <w:rFonts w:ascii="Times New Roman" w:hAnsi="Times New Roman" w:cs="Times New Roman"/>
                <w:sz w:val="22"/>
              </w:rPr>
              <w:t xml:space="preserve"> than others</w:t>
            </w:r>
            <w:r>
              <w:rPr>
                <w:rFonts w:ascii="Times New Roman" w:hAnsi="Times New Roman" w:cs="Times New Roman"/>
                <w:sz w:val="22"/>
              </w:rPr>
              <w:t>, and these classes are driving the lower results from the previous year. The College will refocus more of its efforts on these high-risk areas</w:t>
            </w:r>
            <w:r w:rsidR="00481610">
              <w:rPr>
                <w:rFonts w:ascii="Times New Roman" w:hAnsi="Times New Roman" w:cs="Times New Roman"/>
                <w:sz w:val="22"/>
              </w:rPr>
              <w:t xml:space="preserve"> in the upcoming</w:t>
            </w:r>
            <w:r w:rsidR="008D101F">
              <w:rPr>
                <w:rFonts w:ascii="Times New Roman" w:hAnsi="Times New Roman" w:cs="Times New Roman"/>
                <w:sz w:val="22"/>
              </w:rPr>
              <w:t xml:space="preserve"> year</w:t>
            </w:r>
            <w:r>
              <w:rPr>
                <w:rFonts w:ascii="Times New Roman" w:hAnsi="Times New Roman" w:cs="Times New Roman"/>
                <w:sz w:val="22"/>
              </w:rPr>
              <w:t xml:space="preserve"> to reach the success rate targets for</w:t>
            </w:r>
            <w:r w:rsidR="00655BF8">
              <w:rPr>
                <w:rFonts w:ascii="Times New Roman" w:hAnsi="Times New Roman" w:cs="Times New Roman"/>
                <w:sz w:val="22"/>
              </w:rPr>
              <w:t xml:space="preserve"> adult learners.</w:t>
            </w:r>
          </w:p>
          <w:p w14:paraId="33F8D9E4" w14:textId="77777777" w:rsidR="009C0381" w:rsidRDefault="009C0381" w:rsidP="0006615A">
            <w:pPr>
              <w:contextualSpacing/>
              <w:jc w:val="both"/>
              <w:rPr>
                <w:rFonts w:ascii="Times New Roman" w:hAnsi="Times New Roman" w:cs="Times New Roman"/>
                <w:sz w:val="22"/>
              </w:rPr>
            </w:pPr>
          </w:p>
          <w:p w14:paraId="6905067E" w14:textId="137DDCD2" w:rsidR="00706AFD" w:rsidRPr="00706AFD" w:rsidRDefault="00706AFD" w:rsidP="0006615A">
            <w:pPr>
              <w:contextualSpacing/>
              <w:jc w:val="both"/>
              <w:rPr>
                <w:rFonts w:ascii="Times New Roman" w:hAnsi="Times New Roman" w:cs="Times New Roman"/>
                <w:sz w:val="22"/>
              </w:rPr>
            </w:pPr>
            <w:r w:rsidRPr="00706AFD">
              <w:rPr>
                <w:rFonts w:ascii="Times New Roman" w:hAnsi="Times New Roman" w:cs="Times New Roman"/>
                <w:sz w:val="22"/>
              </w:rPr>
              <w:t>Serving the Adult Learner population requi</w:t>
            </w:r>
            <w:r w:rsidR="001D5041">
              <w:rPr>
                <w:rFonts w:ascii="Times New Roman" w:hAnsi="Times New Roman" w:cs="Times New Roman"/>
                <w:sz w:val="22"/>
              </w:rPr>
              <w:t>res tailoring academic interventions that</w:t>
            </w:r>
            <w:r w:rsidRPr="00706AFD">
              <w:rPr>
                <w:rFonts w:ascii="Times New Roman" w:hAnsi="Times New Roman" w:cs="Times New Roman"/>
                <w:sz w:val="22"/>
              </w:rPr>
              <w:t xml:space="preserve"> fit within the demands of life and the</w:t>
            </w:r>
            <w:r w:rsidR="00481610">
              <w:rPr>
                <w:rFonts w:ascii="Times New Roman" w:hAnsi="Times New Roman" w:cs="Times New Roman"/>
                <w:sz w:val="22"/>
              </w:rPr>
              <w:t>ir</w:t>
            </w:r>
            <w:r w:rsidR="00687D65">
              <w:rPr>
                <w:rFonts w:ascii="Times New Roman" w:hAnsi="Times New Roman" w:cs="Times New Roman"/>
                <w:sz w:val="22"/>
              </w:rPr>
              <w:t xml:space="preserve"> </w:t>
            </w:r>
            <w:r w:rsidR="00EA30C4">
              <w:rPr>
                <w:rFonts w:ascii="Times New Roman" w:hAnsi="Times New Roman" w:cs="Times New Roman"/>
                <w:sz w:val="22"/>
              </w:rPr>
              <w:t>real-world</w:t>
            </w:r>
            <w:r w:rsidR="00481610">
              <w:rPr>
                <w:rFonts w:ascii="Times New Roman" w:hAnsi="Times New Roman" w:cs="Times New Roman"/>
                <w:sz w:val="22"/>
              </w:rPr>
              <w:t xml:space="preserve"> challenges</w:t>
            </w:r>
            <w:r w:rsidRPr="00706AFD">
              <w:rPr>
                <w:rFonts w:ascii="Times New Roman" w:hAnsi="Times New Roman" w:cs="Times New Roman"/>
                <w:sz w:val="22"/>
              </w:rPr>
              <w:t xml:space="preserve">. AMSC continues to use Adult Learner Satisfaction survey data to improve the on-line learning platform so that it continues to foster healthy interactions among students with peers and instructors. </w:t>
            </w:r>
          </w:p>
          <w:p w14:paraId="00D6FB3A" w14:textId="77777777" w:rsidR="00706AFD" w:rsidRPr="00706AFD" w:rsidRDefault="00706AFD" w:rsidP="0073460D">
            <w:pPr>
              <w:ind w:left="360"/>
              <w:contextualSpacing/>
              <w:jc w:val="both"/>
              <w:rPr>
                <w:rFonts w:ascii="Times New Roman" w:hAnsi="Times New Roman" w:cs="Times New Roman"/>
                <w:sz w:val="22"/>
              </w:rPr>
            </w:pPr>
          </w:p>
          <w:p w14:paraId="04F207DB" w14:textId="79E0A935" w:rsidR="00ED63EA" w:rsidRDefault="00481610" w:rsidP="00481610">
            <w:pPr>
              <w:contextualSpacing/>
              <w:jc w:val="both"/>
              <w:rPr>
                <w:rFonts w:ascii="Times New Roman" w:hAnsi="Times New Roman" w:cs="Times New Roman"/>
                <w:sz w:val="22"/>
              </w:rPr>
            </w:pPr>
            <w:r>
              <w:rPr>
                <w:rFonts w:ascii="Times New Roman" w:hAnsi="Times New Roman" w:cs="Times New Roman"/>
                <w:sz w:val="22"/>
              </w:rPr>
              <w:t>Several new online resources were rolled out in the 2016-17 school</w:t>
            </w:r>
            <w:r w:rsidR="00ED63EA">
              <w:rPr>
                <w:rFonts w:ascii="Times New Roman" w:hAnsi="Times New Roman" w:cs="Times New Roman"/>
                <w:sz w:val="22"/>
              </w:rPr>
              <w:t xml:space="preserve"> year to assist adult learners. These included increase</w:t>
            </w:r>
            <w:r w:rsidR="00540B64">
              <w:rPr>
                <w:rFonts w:ascii="Times New Roman" w:hAnsi="Times New Roman" w:cs="Times New Roman"/>
                <w:sz w:val="22"/>
              </w:rPr>
              <w:t>d</w:t>
            </w:r>
            <w:r w:rsidR="00706AFD" w:rsidRPr="00706AFD">
              <w:rPr>
                <w:rFonts w:ascii="Times New Roman" w:hAnsi="Times New Roman" w:cs="Times New Roman"/>
                <w:sz w:val="22"/>
              </w:rPr>
              <w:t xml:space="preserve"> cha</w:t>
            </w:r>
            <w:r w:rsidR="00A4516F">
              <w:rPr>
                <w:rFonts w:ascii="Times New Roman" w:hAnsi="Times New Roman" w:cs="Times New Roman"/>
                <w:sz w:val="22"/>
              </w:rPr>
              <w:t>t</w:t>
            </w:r>
            <w:r w:rsidR="00ED63EA">
              <w:rPr>
                <w:rFonts w:ascii="Times New Roman" w:hAnsi="Times New Roman" w:cs="Times New Roman"/>
                <w:sz w:val="22"/>
              </w:rPr>
              <w:t xml:space="preserve"> capabilities for students with their</w:t>
            </w:r>
            <w:r w:rsidR="00A4516F">
              <w:rPr>
                <w:rFonts w:ascii="Times New Roman" w:hAnsi="Times New Roman" w:cs="Times New Roman"/>
                <w:sz w:val="22"/>
              </w:rPr>
              <w:t xml:space="preserve"> instructors</w:t>
            </w:r>
            <w:r w:rsidR="0004221C">
              <w:rPr>
                <w:rFonts w:ascii="Times New Roman" w:hAnsi="Times New Roman" w:cs="Times New Roman"/>
                <w:sz w:val="22"/>
              </w:rPr>
              <w:t xml:space="preserve"> for real time feedback</w:t>
            </w:r>
            <w:r w:rsidR="00A4516F">
              <w:rPr>
                <w:rFonts w:ascii="Times New Roman" w:hAnsi="Times New Roman" w:cs="Times New Roman"/>
                <w:sz w:val="22"/>
              </w:rPr>
              <w:t xml:space="preserve">. </w:t>
            </w:r>
            <w:r w:rsidR="0004221C">
              <w:rPr>
                <w:rFonts w:ascii="Times New Roman" w:hAnsi="Times New Roman" w:cs="Times New Roman"/>
                <w:sz w:val="22"/>
              </w:rPr>
              <w:t>A</w:t>
            </w:r>
            <w:r w:rsidR="005C43BA">
              <w:rPr>
                <w:rFonts w:ascii="Times New Roman" w:hAnsi="Times New Roman" w:cs="Times New Roman"/>
                <w:sz w:val="22"/>
              </w:rPr>
              <w:t>n</w:t>
            </w:r>
            <w:r w:rsidR="00D97A0A">
              <w:rPr>
                <w:rFonts w:ascii="Times New Roman" w:hAnsi="Times New Roman" w:cs="Times New Roman"/>
                <w:sz w:val="22"/>
              </w:rPr>
              <w:t xml:space="preserve"> </w:t>
            </w:r>
            <w:r w:rsidR="005C43BA">
              <w:rPr>
                <w:rFonts w:ascii="Times New Roman" w:hAnsi="Times New Roman" w:cs="Times New Roman"/>
                <w:sz w:val="22"/>
              </w:rPr>
              <w:t>e</w:t>
            </w:r>
            <w:r w:rsidR="0004221C">
              <w:rPr>
                <w:rFonts w:ascii="Times New Roman" w:hAnsi="Times New Roman" w:cs="Times New Roman"/>
                <w:sz w:val="22"/>
              </w:rPr>
              <w:t>-</w:t>
            </w:r>
            <w:r w:rsidR="00D97A0A">
              <w:rPr>
                <w:rFonts w:ascii="Times New Roman" w:hAnsi="Times New Roman" w:cs="Times New Roman"/>
                <w:sz w:val="22"/>
              </w:rPr>
              <w:t xml:space="preserve">Librarian </w:t>
            </w:r>
            <w:r w:rsidR="00540B64">
              <w:rPr>
                <w:rFonts w:ascii="Times New Roman" w:hAnsi="Times New Roman" w:cs="Times New Roman"/>
                <w:sz w:val="22"/>
              </w:rPr>
              <w:t>was also a new feature</w:t>
            </w:r>
            <w:r w:rsidR="00706AFD" w:rsidRPr="00706AFD">
              <w:rPr>
                <w:rFonts w:ascii="Times New Roman" w:hAnsi="Times New Roman" w:cs="Times New Roman"/>
                <w:sz w:val="22"/>
              </w:rPr>
              <w:t xml:space="preserve"> </w:t>
            </w:r>
            <w:r w:rsidR="0004221C">
              <w:rPr>
                <w:rFonts w:ascii="Times New Roman" w:hAnsi="Times New Roman" w:cs="Times New Roman"/>
                <w:sz w:val="22"/>
              </w:rPr>
              <w:t xml:space="preserve">embedded into </w:t>
            </w:r>
            <w:r w:rsidR="00706AFD" w:rsidRPr="00706AFD">
              <w:rPr>
                <w:rFonts w:ascii="Times New Roman" w:hAnsi="Times New Roman" w:cs="Times New Roman"/>
                <w:sz w:val="22"/>
              </w:rPr>
              <w:t>the</w:t>
            </w:r>
            <w:r w:rsidR="00D97A0A">
              <w:rPr>
                <w:rFonts w:ascii="Times New Roman" w:hAnsi="Times New Roman" w:cs="Times New Roman"/>
                <w:sz w:val="22"/>
              </w:rPr>
              <w:t xml:space="preserve"> online Adult Friendly</w:t>
            </w:r>
            <w:r w:rsidR="005C43BA">
              <w:rPr>
                <w:rFonts w:ascii="Times New Roman" w:hAnsi="Times New Roman" w:cs="Times New Roman"/>
                <w:sz w:val="22"/>
              </w:rPr>
              <w:t xml:space="preserve"> course</w:t>
            </w:r>
            <w:r w:rsidR="00ED63EA">
              <w:rPr>
                <w:rFonts w:ascii="Times New Roman" w:hAnsi="Times New Roman" w:cs="Times New Roman"/>
                <w:sz w:val="22"/>
              </w:rPr>
              <w:t>s</w:t>
            </w:r>
            <w:r w:rsidR="00540B64">
              <w:rPr>
                <w:rFonts w:ascii="Times New Roman" w:hAnsi="Times New Roman" w:cs="Times New Roman"/>
                <w:sz w:val="22"/>
              </w:rPr>
              <w:t>,</w:t>
            </w:r>
            <w:r w:rsidR="00ED63EA">
              <w:rPr>
                <w:rFonts w:ascii="Times New Roman" w:hAnsi="Times New Roman" w:cs="Times New Roman"/>
                <w:sz w:val="22"/>
              </w:rPr>
              <w:t xml:space="preserve"> </w:t>
            </w:r>
            <w:r w:rsidR="0004221C">
              <w:rPr>
                <w:rFonts w:ascii="Times New Roman" w:hAnsi="Times New Roman" w:cs="Times New Roman"/>
                <w:sz w:val="22"/>
              </w:rPr>
              <w:t>with great success. The</w:t>
            </w:r>
            <w:r w:rsidR="00706AFD" w:rsidRPr="00706AFD">
              <w:rPr>
                <w:rFonts w:ascii="Times New Roman" w:hAnsi="Times New Roman" w:cs="Times New Roman"/>
                <w:sz w:val="22"/>
              </w:rPr>
              <w:t xml:space="preserve"> </w:t>
            </w:r>
            <w:r w:rsidR="005C43BA">
              <w:rPr>
                <w:rFonts w:ascii="Times New Roman" w:hAnsi="Times New Roman" w:cs="Times New Roman"/>
                <w:sz w:val="22"/>
              </w:rPr>
              <w:t>e</w:t>
            </w:r>
            <w:r w:rsidR="001D5041">
              <w:rPr>
                <w:rFonts w:ascii="Times New Roman" w:hAnsi="Times New Roman" w:cs="Times New Roman"/>
                <w:sz w:val="22"/>
              </w:rPr>
              <w:t>-</w:t>
            </w:r>
            <w:r w:rsidR="000C2472">
              <w:rPr>
                <w:rFonts w:ascii="Times New Roman" w:hAnsi="Times New Roman" w:cs="Times New Roman"/>
                <w:sz w:val="22"/>
              </w:rPr>
              <w:t xml:space="preserve">Librarian is </w:t>
            </w:r>
            <w:r w:rsidR="0004221C">
              <w:rPr>
                <w:rFonts w:ascii="Times New Roman" w:hAnsi="Times New Roman" w:cs="Times New Roman"/>
                <w:sz w:val="22"/>
              </w:rPr>
              <w:t xml:space="preserve">equipped </w:t>
            </w:r>
            <w:r w:rsidR="00706AFD" w:rsidRPr="00706AFD">
              <w:rPr>
                <w:rFonts w:ascii="Times New Roman" w:hAnsi="Times New Roman" w:cs="Times New Roman"/>
                <w:sz w:val="22"/>
              </w:rPr>
              <w:t>with videos</w:t>
            </w:r>
            <w:r w:rsidR="00F612ED">
              <w:rPr>
                <w:rFonts w:ascii="Times New Roman" w:hAnsi="Times New Roman" w:cs="Times New Roman"/>
                <w:sz w:val="22"/>
              </w:rPr>
              <w:t xml:space="preserve"> and detailed guides</w:t>
            </w:r>
            <w:r w:rsidR="00706AFD" w:rsidRPr="00706AFD">
              <w:rPr>
                <w:rFonts w:ascii="Times New Roman" w:hAnsi="Times New Roman" w:cs="Times New Roman"/>
                <w:sz w:val="22"/>
              </w:rPr>
              <w:t xml:space="preserve"> that provide insight and support for conducting scholarly resear</w:t>
            </w:r>
            <w:r w:rsidR="00655BF8">
              <w:rPr>
                <w:rFonts w:ascii="Times New Roman" w:hAnsi="Times New Roman" w:cs="Times New Roman"/>
                <w:sz w:val="22"/>
              </w:rPr>
              <w:t xml:space="preserve">ch. </w:t>
            </w:r>
            <w:r w:rsidR="00F612ED">
              <w:rPr>
                <w:rFonts w:ascii="Times New Roman" w:hAnsi="Times New Roman" w:cs="Times New Roman"/>
                <w:sz w:val="22"/>
              </w:rPr>
              <w:t xml:space="preserve">Adult learners </w:t>
            </w:r>
            <w:r w:rsidR="00655BF8">
              <w:rPr>
                <w:rFonts w:ascii="Times New Roman" w:hAnsi="Times New Roman" w:cs="Times New Roman"/>
                <w:sz w:val="22"/>
              </w:rPr>
              <w:t xml:space="preserve">also have the </w:t>
            </w:r>
            <w:r w:rsidR="00706AFD" w:rsidRPr="00706AFD">
              <w:rPr>
                <w:rFonts w:ascii="Times New Roman" w:hAnsi="Times New Roman" w:cs="Times New Roman"/>
                <w:sz w:val="22"/>
              </w:rPr>
              <w:t>ability to chat</w:t>
            </w:r>
            <w:r w:rsidR="00F612ED">
              <w:rPr>
                <w:rFonts w:ascii="Times New Roman" w:hAnsi="Times New Roman" w:cs="Times New Roman"/>
                <w:sz w:val="22"/>
              </w:rPr>
              <w:t>, real-time,</w:t>
            </w:r>
            <w:r w:rsidR="00706AFD" w:rsidRPr="00706AFD">
              <w:rPr>
                <w:rFonts w:ascii="Times New Roman" w:hAnsi="Times New Roman" w:cs="Times New Roman"/>
                <w:sz w:val="22"/>
              </w:rPr>
              <w:t xml:space="preserve"> with the </w:t>
            </w:r>
            <w:r w:rsidR="005C43BA">
              <w:rPr>
                <w:rFonts w:ascii="Times New Roman" w:hAnsi="Times New Roman" w:cs="Times New Roman"/>
                <w:sz w:val="22"/>
              </w:rPr>
              <w:t>e</w:t>
            </w:r>
            <w:r w:rsidR="001D5041">
              <w:rPr>
                <w:rFonts w:ascii="Times New Roman" w:hAnsi="Times New Roman" w:cs="Times New Roman"/>
                <w:sz w:val="22"/>
              </w:rPr>
              <w:t>-L</w:t>
            </w:r>
            <w:r w:rsidR="00706AFD" w:rsidRPr="00706AFD">
              <w:rPr>
                <w:rFonts w:ascii="Times New Roman" w:hAnsi="Times New Roman" w:cs="Times New Roman"/>
                <w:sz w:val="22"/>
              </w:rPr>
              <w:t>ibrarian</w:t>
            </w:r>
            <w:r w:rsidR="005C43BA">
              <w:rPr>
                <w:rFonts w:ascii="Times New Roman" w:hAnsi="Times New Roman" w:cs="Times New Roman"/>
                <w:sz w:val="22"/>
              </w:rPr>
              <w:t>,</w:t>
            </w:r>
            <w:r w:rsidR="00F612ED">
              <w:rPr>
                <w:rFonts w:ascii="Times New Roman" w:hAnsi="Times New Roman" w:cs="Times New Roman"/>
                <w:sz w:val="22"/>
              </w:rPr>
              <w:t xml:space="preserve"> </w:t>
            </w:r>
            <w:r w:rsidR="00EA30C4">
              <w:rPr>
                <w:rFonts w:ascii="Times New Roman" w:hAnsi="Times New Roman" w:cs="Times New Roman"/>
                <w:sz w:val="22"/>
              </w:rPr>
              <w:t xml:space="preserve">which </w:t>
            </w:r>
            <w:r w:rsidR="00EA30C4" w:rsidRPr="00706AFD">
              <w:rPr>
                <w:rFonts w:ascii="Times New Roman" w:hAnsi="Times New Roman" w:cs="Times New Roman"/>
                <w:sz w:val="22"/>
              </w:rPr>
              <w:t>provides</w:t>
            </w:r>
            <w:r w:rsidR="00706AFD" w:rsidRPr="00706AFD">
              <w:rPr>
                <w:rFonts w:ascii="Times New Roman" w:hAnsi="Times New Roman" w:cs="Times New Roman"/>
                <w:sz w:val="22"/>
              </w:rPr>
              <w:t xml:space="preserve"> </w:t>
            </w:r>
            <w:r w:rsidR="00A4516F">
              <w:rPr>
                <w:rFonts w:ascii="Times New Roman" w:hAnsi="Times New Roman" w:cs="Times New Roman"/>
                <w:sz w:val="22"/>
              </w:rPr>
              <w:t xml:space="preserve">real-time </w:t>
            </w:r>
            <w:r w:rsidR="00706AFD" w:rsidRPr="00706AFD">
              <w:rPr>
                <w:rFonts w:ascii="Times New Roman" w:hAnsi="Times New Roman" w:cs="Times New Roman"/>
                <w:sz w:val="22"/>
              </w:rPr>
              <w:t>support</w:t>
            </w:r>
            <w:r w:rsidR="00F612ED">
              <w:rPr>
                <w:rFonts w:ascii="Times New Roman" w:hAnsi="Times New Roman" w:cs="Times New Roman"/>
                <w:sz w:val="22"/>
              </w:rPr>
              <w:t>,</w:t>
            </w:r>
            <w:r w:rsidR="00706AFD" w:rsidRPr="00706AFD">
              <w:rPr>
                <w:rFonts w:ascii="Times New Roman" w:hAnsi="Times New Roman" w:cs="Times New Roman"/>
                <w:sz w:val="22"/>
              </w:rPr>
              <w:t xml:space="preserve"> specific to the </w:t>
            </w:r>
            <w:r w:rsidR="00F612ED">
              <w:rPr>
                <w:rFonts w:ascii="Times New Roman" w:hAnsi="Times New Roman" w:cs="Times New Roman"/>
                <w:sz w:val="22"/>
              </w:rPr>
              <w:t xml:space="preserve">individual </w:t>
            </w:r>
            <w:r w:rsidR="00706AFD" w:rsidRPr="00706AFD">
              <w:rPr>
                <w:rFonts w:ascii="Times New Roman" w:hAnsi="Times New Roman" w:cs="Times New Roman"/>
                <w:sz w:val="22"/>
              </w:rPr>
              <w:t>need</w:t>
            </w:r>
            <w:r w:rsidR="00F612ED">
              <w:rPr>
                <w:rFonts w:ascii="Times New Roman" w:hAnsi="Times New Roman" w:cs="Times New Roman"/>
                <w:sz w:val="22"/>
              </w:rPr>
              <w:t xml:space="preserve">s of the </w:t>
            </w:r>
            <w:r w:rsidR="00706AFD" w:rsidRPr="00706AFD">
              <w:rPr>
                <w:rFonts w:ascii="Times New Roman" w:hAnsi="Times New Roman" w:cs="Times New Roman"/>
                <w:sz w:val="22"/>
              </w:rPr>
              <w:t>student.</w:t>
            </w:r>
            <w:r w:rsidR="0004221C">
              <w:rPr>
                <w:rFonts w:ascii="Times New Roman" w:hAnsi="Times New Roman" w:cs="Times New Roman"/>
                <w:sz w:val="22"/>
              </w:rPr>
              <w:t xml:space="preserve"> </w:t>
            </w:r>
          </w:p>
          <w:p w14:paraId="05010C89" w14:textId="77777777" w:rsidR="00ED63EA" w:rsidRDefault="00ED63EA" w:rsidP="00481610">
            <w:pPr>
              <w:contextualSpacing/>
              <w:jc w:val="both"/>
              <w:rPr>
                <w:rFonts w:ascii="Times New Roman" w:hAnsi="Times New Roman" w:cs="Times New Roman"/>
                <w:sz w:val="22"/>
              </w:rPr>
            </w:pPr>
          </w:p>
          <w:p w14:paraId="4C05911E" w14:textId="33E0107B" w:rsidR="00706AFD" w:rsidRPr="001D5041" w:rsidRDefault="0004221C" w:rsidP="00481610">
            <w:pPr>
              <w:contextualSpacing/>
              <w:jc w:val="both"/>
              <w:rPr>
                <w:rFonts w:ascii="Times New Roman" w:hAnsi="Times New Roman" w:cs="Times New Roman"/>
                <w:i/>
                <w:sz w:val="22"/>
              </w:rPr>
            </w:pPr>
            <w:r>
              <w:rPr>
                <w:rFonts w:ascii="Times New Roman" w:hAnsi="Times New Roman" w:cs="Times New Roman"/>
                <w:sz w:val="22"/>
              </w:rPr>
              <w:t>Atlanta Metropolitan State College congratulates four faculty members</w:t>
            </w:r>
            <w:r w:rsidR="000C2472">
              <w:rPr>
                <w:rFonts w:ascii="Times New Roman" w:hAnsi="Times New Roman" w:cs="Times New Roman"/>
                <w:sz w:val="22"/>
              </w:rPr>
              <w:t>:</w:t>
            </w:r>
            <w:r>
              <w:rPr>
                <w:rFonts w:ascii="Times New Roman" w:hAnsi="Times New Roman" w:cs="Times New Roman"/>
                <w:sz w:val="22"/>
              </w:rPr>
              <w:t xml:space="preserve"> </w:t>
            </w:r>
            <w:r w:rsidR="000C2472">
              <w:rPr>
                <w:rFonts w:ascii="Times New Roman" w:hAnsi="Times New Roman" w:cs="Times New Roman"/>
                <w:sz w:val="22"/>
                <w:szCs w:val="22"/>
              </w:rPr>
              <w:t>Drs. Todd, Akoh, Gray, and Ravi</w:t>
            </w:r>
            <w:r w:rsidR="00ED63EA">
              <w:rPr>
                <w:rFonts w:ascii="Times New Roman" w:hAnsi="Times New Roman" w:cs="Times New Roman"/>
                <w:sz w:val="22"/>
                <w:szCs w:val="22"/>
              </w:rPr>
              <w:t>,</w:t>
            </w:r>
            <w:r w:rsidRPr="001D5041">
              <w:rPr>
                <w:rFonts w:ascii="Times New Roman" w:hAnsi="Times New Roman" w:cs="Times New Roman"/>
                <w:sz w:val="22"/>
                <w:szCs w:val="22"/>
              </w:rPr>
              <w:t xml:space="preserve"> </w:t>
            </w:r>
            <w:r w:rsidR="00ED63EA">
              <w:rPr>
                <w:rFonts w:ascii="Times New Roman" w:hAnsi="Times New Roman" w:cs="Times New Roman"/>
                <w:sz w:val="22"/>
                <w:szCs w:val="22"/>
              </w:rPr>
              <w:t xml:space="preserve">who </w:t>
            </w:r>
            <w:r w:rsidRPr="001D5041">
              <w:rPr>
                <w:rFonts w:ascii="Times New Roman" w:hAnsi="Times New Roman" w:cs="Times New Roman"/>
                <w:sz w:val="22"/>
                <w:szCs w:val="22"/>
              </w:rPr>
              <w:t>published a paper in the Online Journal of Distance Learning Administrators</w:t>
            </w:r>
            <w:r w:rsidR="00ED63EA">
              <w:rPr>
                <w:rFonts w:ascii="Times New Roman" w:hAnsi="Times New Roman" w:cs="Times New Roman"/>
                <w:sz w:val="22"/>
                <w:szCs w:val="22"/>
              </w:rPr>
              <w:t>,</w:t>
            </w:r>
            <w:r w:rsidR="00ED63EA">
              <w:rPr>
                <w:sz w:val="22"/>
                <w:szCs w:val="22"/>
              </w:rPr>
              <w:t xml:space="preserve"> titled </w:t>
            </w:r>
            <w:r w:rsidRPr="001D5041">
              <w:rPr>
                <w:rFonts w:ascii="Times New Roman" w:hAnsi="Times New Roman" w:cs="Times New Roman"/>
                <w:i/>
                <w:sz w:val="22"/>
                <w:szCs w:val="22"/>
              </w:rPr>
              <w:t>“Engaging Adult Learners Online Through Technology, Andragogy, and Flexible Course Design: From Theory to Practice</w:t>
            </w:r>
            <w:r w:rsidR="00ED63EA">
              <w:rPr>
                <w:rFonts w:ascii="Times New Roman" w:hAnsi="Times New Roman" w:cs="Times New Roman"/>
                <w:i/>
                <w:sz w:val="22"/>
                <w:szCs w:val="22"/>
              </w:rPr>
              <w:t>.</w:t>
            </w:r>
            <w:r w:rsidRPr="001D5041">
              <w:rPr>
                <w:rFonts w:ascii="Times New Roman" w:hAnsi="Times New Roman" w:cs="Times New Roman"/>
                <w:i/>
                <w:sz w:val="22"/>
                <w:szCs w:val="22"/>
              </w:rPr>
              <w:t>”</w:t>
            </w:r>
            <w:r w:rsidR="001D5041" w:rsidRPr="001D5041">
              <w:rPr>
                <w:sz w:val="22"/>
                <w:szCs w:val="22"/>
              </w:rPr>
              <w:t xml:space="preserve"> </w:t>
            </w:r>
            <w:r w:rsidR="00ED63EA" w:rsidRPr="00F612ED">
              <w:rPr>
                <w:rFonts w:ascii="Times New Roman" w:hAnsi="Times New Roman" w:cs="Times New Roman"/>
                <w:sz w:val="22"/>
                <w:szCs w:val="22"/>
              </w:rPr>
              <w:t xml:space="preserve">This publication also serves as Chapter 1 in the book titled, </w:t>
            </w:r>
            <w:r w:rsidR="001D5041" w:rsidRPr="00F612ED">
              <w:rPr>
                <w:rFonts w:ascii="Times New Roman" w:hAnsi="Times New Roman" w:cs="Times New Roman"/>
                <w:sz w:val="22"/>
                <w:szCs w:val="22"/>
              </w:rPr>
              <w:t>The Handbook of Research on Technology-Centric Strategies</w:t>
            </w:r>
            <w:r w:rsidR="00ED63EA" w:rsidRPr="00F612ED">
              <w:rPr>
                <w:rFonts w:ascii="Times New Roman" w:hAnsi="Times New Roman" w:cs="Times New Roman"/>
                <w:sz w:val="22"/>
                <w:szCs w:val="22"/>
              </w:rPr>
              <w:t xml:space="preserve"> fo</w:t>
            </w:r>
            <w:r w:rsidR="00F612ED">
              <w:rPr>
                <w:rFonts w:ascii="Times New Roman" w:hAnsi="Times New Roman" w:cs="Times New Roman"/>
                <w:sz w:val="22"/>
                <w:szCs w:val="22"/>
              </w:rPr>
              <w:t>r Higher Education, available at</w:t>
            </w:r>
            <w:r w:rsidR="00ED63EA" w:rsidRPr="00F612ED">
              <w:rPr>
                <w:rFonts w:ascii="Times New Roman" w:hAnsi="Times New Roman" w:cs="Times New Roman"/>
                <w:sz w:val="22"/>
                <w:szCs w:val="22"/>
              </w:rPr>
              <w:t xml:space="preserve"> amazon.com.</w:t>
            </w:r>
          </w:p>
        </w:tc>
      </w:tr>
    </w:tbl>
    <w:p w14:paraId="66D0A8F6" w14:textId="77777777" w:rsidR="00034E93" w:rsidRDefault="00034E93" w:rsidP="00E03B87">
      <w:pPr>
        <w:pStyle w:val="Default"/>
        <w:shd w:val="clear" w:color="auto" w:fill="FFFFFF" w:themeFill="background1"/>
        <w:spacing w:line="276" w:lineRule="auto"/>
        <w:jc w:val="both"/>
        <w:rPr>
          <w:b/>
          <w:sz w:val="28"/>
          <w:szCs w:val="28"/>
        </w:rPr>
      </w:pPr>
    </w:p>
    <w:tbl>
      <w:tblPr>
        <w:tblStyle w:val="TableGrid1"/>
        <w:tblW w:w="11520" w:type="dxa"/>
        <w:tblInd w:w="-1085" w:type="dxa"/>
        <w:tblLayout w:type="fixed"/>
        <w:tblLook w:val="04A0" w:firstRow="1" w:lastRow="0" w:firstColumn="1" w:lastColumn="0" w:noHBand="0" w:noVBand="1"/>
      </w:tblPr>
      <w:tblGrid>
        <w:gridCol w:w="540"/>
        <w:gridCol w:w="1440"/>
        <w:gridCol w:w="9540"/>
      </w:tblGrid>
      <w:tr w:rsidR="008C52EE" w:rsidRPr="00706AFD" w14:paraId="0B8AAA11" w14:textId="77777777" w:rsidTr="00B87766">
        <w:tc>
          <w:tcPr>
            <w:tcW w:w="1980" w:type="dxa"/>
            <w:gridSpan w:val="2"/>
          </w:tcPr>
          <w:p w14:paraId="11C7F7BD" w14:textId="218A4A36" w:rsidR="008C52EE" w:rsidRPr="00706AFD" w:rsidRDefault="002B3901" w:rsidP="007B7010">
            <w:pPr>
              <w:rPr>
                <w:rFonts w:ascii="Times New Roman" w:hAnsi="Times New Roman" w:cs="Times New Roman"/>
                <w:b/>
                <w:sz w:val="22"/>
              </w:rPr>
            </w:pPr>
            <w:r>
              <w:rPr>
                <w:rFonts w:ascii="Times New Roman" w:hAnsi="Times New Roman" w:cs="Times New Roman"/>
                <w:b/>
                <w:sz w:val="22"/>
              </w:rPr>
              <w:t>High-impact S</w:t>
            </w:r>
            <w:r w:rsidR="008C52EE" w:rsidRPr="00706AFD">
              <w:rPr>
                <w:rFonts w:ascii="Times New Roman" w:hAnsi="Times New Roman" w:cs="Times New Roman"/>
                <w:b/>
                <w:sz w:val="22"/>
              </w:rPr>
              <w:t>trategy</w:t>
            </w:r>
            <w:r>
              <w:rPr>
                <w:rFonts w:ascii="Times New Roman" w:hAnsi="Times New Roman" w:cs="Times New Roman"/>
                <w:b/>
                <w:sz w:val="22"/>
              </w:rPr>
              <w:t xml:space="preserve"> #3</w:t>
            </w:r>
          </w:p>
        </w:tc>
        <w:tc>
          <w:tcPr>
            <w:tcW w:w="9540" w:type="dxa"/>
          </w:tcPr>
          <w:p w14:paraId="71E57A1D" w14:textId="56C96889" w:rsidR="008C52EE" w:rsidRPr="00706AFD" w:rsidRDefault="00572138" w:rsidP="00D23C6D">
            <w:pPr>
              <w:rPr>
                <w:rFonts w:ascii="Times New Roman" w:hAnsi="Times New Roman" w:cs="Times New Roman"/>
                <w:sz w:val="22"/>
              </w:rPr>
            </w:pPr>
            <w:r w:rsidRPr="00572138">
              <w:rPr>
                <w:rFonts w:ascii="Times New Roman" w:hAnsi="Times New Roman" w:cs="Times New Roman"/>
                <w:b/>
                <w:sz w:val="22"/>
                <w:u w:val="single"/>
              </w:rPr>
              <w:t>Strategy 3.0</w:t>
            </w:r>
            <w:r w:rsidR="008C52EE" w:rsidRPr="00572138">
              <w:rPr>
                <w:rFonts w:ascii="Times New Roman" w:hAnsi="Times New Roman" w:cs="Times New Roman"/>
                <w:b/>
                <w:sz w:val="22"/>
                <w:u w:val="single"/>
              </w:rPr>
              <w:t>:</w:t>
            </w:r>
            <w:r w:rsidR="008C52EE" w:rsidRPr="00706AFD">
              <w:rPr>
                <w:rFonts w:ascii="Times New Roman" w:hAnsi="Times New Roman" w:cs="Times New Roman"/>
                <w:sz w:val="22"/>
              </w:rPr>
              <w:t xml:space="preserve"> </w:t>
            </w:r>
            <w:r w:rsidR="00B3398A">
              <w:rPr>
                <w:rFonts w:ascii="Times New Roman" w:hAnsi="Times New Roman" w:cs="Times New Roman"/>
                <w:sz w:val="22"/>
              </w:rPr>
              <w:t>I</w:t>
            </w:r>
            <w:r w:rsidR="00D23C6D">
              <w:rPr>
                <w:rFonts w:ascii="Times New Roman" w:hAnsi="Times New Roman" w:cs="Times New Roman"/>
                <w:sz w:val="22"/>
              </w:rPr>
              <w:t>ncrease</w:t>
            </w:r>
            <w:r w:rsidR="008C52EE" w:rsidRPr="00706AFD">
              <w:rPr>
                <w:rFonts w:ascii="Times New Roman" w:hAnsi="Times New Roman" w:cs="Times New Roman"/>
                <w:sz w:val="22"/>
              </w:rPr>
              <w:t xml:space="preserve"> access</w:t>
            </w:r>
            <w:r w:rsidR="00D23C6D">
              <w:rPr>
                <w:rFonts w:ascii="Times New Roman" w:hAnsi="Times New Roman" w:cs="Times New Roman"/>
                <w:sz w:val="22"/>
              </w:rPr>
              <w:t xml:space="preserve"> to post-se</w:t>
            </w:r>
            <w:r w:rsidR="001300FC">
              <w:rPr>
                <w:rFonts w:ascii="Times New Roman" w:hAnsi="Times New Roman" w:cs="Times New Roman"/>
                <w:sz w:val="22"/>
              </w:rPr>
              <w:t>condary</w:t>
            </w:r>
            <w:r w:rsidR="00250BB6">
              <w:rPr>
                <w:rFonts w:ascii="Times New Roman" w:hAnsi="Times New Roman" w:cs="Times New Roman"/>
                <w:sz w:val="22"/>
              </w:rPr>
              <w:t xml:space="preserve"> education</w:t>
            </w:r>
            <w:r w:rsidR="008C52EE" w:rsidRPr="00706AFD">
              <w:rPr>
                <w:rFonts w:ascii="Times New Roman" w:hAnsi="Times New Roman" w:cs="Times New Roman"/>
                <w:sz w:val="22"/>
              </w:rPr>
              <w:t xml:space="preserve"> </w:t>
            </w:r>
            <w:r w:rsidR="00D23C6D">
              <w:rPr>
                <w:rFonts w:ascii="Times New Roman" w:hAnsi="Times New Roman" w:cs="Times New Roman"/>
                <w:sz w:val="22"/>
              </w:rPr>
              <w:t>for high school s</w:t>
            </w:r>
            <w:r w:rsidR="00C10B4B">
              <w:rPr>
                <w:rFonts w:ascii="Times New Roman" w:hAnsi="Times New Roman" w:cs="Times New Roman"/>
                <w:sz w:val="22"/>
              </w:rPr>
              <w:t>tudents via</w:t>
            </w:r>
            <w:r w:rsidR="001300FC">
              <w:rPr>
                <w:rFonts w:ascii="Times New Roman" w:hAnsi="Times New Roman" w:cs="Times New Roman"/>
                <w:sz w:val="22"/>
              </w:rPr>
              <w:t xml:space="preserve"> dual credit</w:t>
            </w:r>
            <w:r w:rsidR="00C10B4B">
              <w:rPr>
                <w:rFonts w:ascii="Times New Roman" w:hAnsi="Times New Roman" w:cs="Times New Roman"/>
                <w:sz w:val="22"/>
              </w:rPr>
              <w:t xml:space="preserve">, Dual Enrollment </w:t>
            </w:r>
            <w:r w:rsidR="001300FC">
              <w:rPr>
                <w:rFonts w:ascii="Times New Roman" w:hAnsi="Times New Roman" w:cs="Times New Roman"/>
                <w:sz w:val="22"/>
              </w:rPr>
              <w:t xml:space="preserve"> Programs</w:t>
            </w:r>
          </w:p>
        </w:tc>
      </w:tr>
      <w:tr w:rsidR="008C52EE" w:rsidRPr="00706AFD" w14:paraId="104CCC29" w14:textId="77777777" w:rsidTr="00B87766">
        <w:tc>
          <w:tcPr>
            <w:tcW w:w="1980" w:type="dxa"/>
            <w:gridSpan w:val="2"/>
          </w:tcPr>
          <w:p w14:paraId="61AB07A5" w14:textId="36785DBE" w:rsidR="008C52EE" w:rsidRPr="00706AFD" w:rsidRDefault="008C52EE" w:rsidP="007B7010">
            <w:pPr>
              <w:rPr>
                <w:rFonts w:ascii="Times New Roman" w:hAnsi="Times New Roman" w:cs="Times New Roman"/>
                <w:b/>
                <w:sz w:val="22"/>
              </w:rPr>
            </w:pPr>
            <w:r w:rsidRPr="00706AFD">
              <w:rPr>
                <w:rFonts w:ascii="Times New Roman" w:hAnsi="Times New Roman" w:cs="Times New Roman"/>
                <w:b/>
                <w:sz w:val="22"/>
              </w:rPr>
              <w:t xml:space="preserve">Related Goal </w:t>
            </w:r>
            <w:r w:rsidR="00FD694E">
              <w:rPr>
                <w:rFonts w:ascii="Times New Roman" w:hAnsi="Times New Roman" w:cs="Times New Roman"/>
                <w:b/>
                <w:sz w:val="22"/>
              </w:rPr>
              <w:t>3</w:t>
            </w:r>
          </w:p>
        </w:tc>
        <w:tc>
          <w:tcPr>
            <w:tcW w:w="9540" w:type="dxa"/>
          </w:tcPr>
          <w:p w14:paraId="39EB3B40" w14:textId="41BA60BD" w:rsidR="008C52EE" w:rsidRPr="00706AFD" w:rsidRDefault="001300FC" w:rsidP="00B7306E">
            <w:pPr>
              <w:rPr>
                <w:rFonts w:ascii="Times New Roman" w:hAnsi="Times New Roman" w:cs="Times New Roman"/>
                <w:sz w:val="22"/>
              </w:rPr>
            </w:pPr>
            <w:r>
              <w:rPr>
                <w:rFonts w:ascii="Times New Roman" w:hAnsi="Times New Roman" w:cs="Times New Roman"/>
                <w:sz w:val="22"/>
              </w:rPr>
              <w:t>Goal 6</w:t>
            </w:r>
            <w:r w:rsidR="008C52EE" w:rsidRPr="00706AFD">
              <w:rPr>
                <w:rFonts w:ascii="Times New Roman" w:hAnsi="Times New Roman" w:cs="Times New Roman"/>
                <w:sz w:val="22"/>
              </w:rPr>
              <w:t xml:space="preserve">: </w:t>
            </w:r>
            <w:r>
              <w:rPr>
                <w:rFonts w:ascii="Times New Roman" w:hAnsi="Times New Roman" w:cs="Times New Roman"/>
                <w:sz w:val="22"/>
              </w:rPr>
              <w:t>Shorten time to degree completion through programs that allow students to earn college credit while still in high school</w:t>
            </w:r>
          </w:p>
        </w:tc>
      </w:tr>
      <w:tr w:rsidR="008C52EE" w:rsidRPr="00706AFD" w14:paraId="30839A45" w14:textId="77777777" w:rsidTr="00B87766">
        <w:tc>
          <w:tcPr>
            <w:tcW w:w="1980" w:type="dxa"/>
            <w:gridSpan w:val="2"/>
          </w:tcPr>
          <w:p w14:paraId="6D41066D" w14:textId="77777777" w:rsidR="008C52EE" w:rsidRPr="00706AFD" w:rsidRDefault="008C52EE" w:rsidP="007B7010">
            <w:pPr>
              <w:rPr>
                <w:rFonts w:ascii="Times New Roman" w:hAnsi="Times New Roman" w:cs="Times New Roman"/>
                <w:b/>
                <w:sz w:val="22"/>
              </w:rPr>
            </w:pPr>
            <w:r w:rsidRPr="00706AFD">
              <w:rPr>
                <w:rFonts w:ascii="Times New Roman" w:hAnsi="Times New Roman" w:cs="Times New Roman"/>
                <w:b/>
                <w:sz w:val="22"/>
              </w:rPr>
              <w:t>Demonstration of Priority and/or Impact</w:t>
            </w:r>
          </w:p>
        </w:tc>
        <w:tc>
          <w:tcPr>
            <w:tcW w:w="9540" w:type="dxa"/>
          </w:tcPr>
          <w:p w14:paraId="10693E31" w14:textId="20BF476B" w:rsidR="008C52EE" w:rsidRPr="00706AFD" w:rsidRDefault="00B7306E" w:rsidP="00B87766">
            <w:pPr>
              <w:contextualSpacing/>
              <w:rPr>
                <w:rFonts w:ascii="Times New Roman" w:hAnsi="Times New Roman" w:cs="Times New Roman"/>
                <w:iCs/>
                <w:sz w:val="22"/>
                <w:szCs w:val="22"/>
              </w:rPr>
            </w:pPr>
            <w:r>
              <w:rPr>
                <w:rFonts w:ascii="Times New Roman" w:hAnsi="Times New Roman" w:cs="Times New Roman"/>
                <w:iCs/>
                <w:sz w:val="22"/>
                <w:szCs w:val="22"/>
              </w:rPr>
              <w:t>The impact for this strategy is approximately 260 students per semester. In addition to shortening time to degree for</w:t>
            </w:r>
            <w:r w:rsidR="00786F32">
              <w:rPr>
                <w:rFonts w:ascii="Times New Roman" w:hAnsi="Times New Roman" w:cs="Times New Roman"/>
                <w:iCs/>
                <w:sz w:val="22"/>
                <w:szCs w:val="22"/>
              </w:rPr>
              <w:t xml:space="preserve"> high school</w:t>
            </w:r>
            <w:r>
              <w:rPr>
                <w:rFonts w:ascii="Times New Roman" w:hAnsi="Times New Roman" w:cs="Times New Roman"/>
                <w:iCs/>
                <w:sz w:val="22"/>
                <w:szCs w:val="22"/>
              </w:rPr>
              <w:t xml:space="preserve"> students, this s</w:t>
            </w:r>
            <w:r w:rsidR="00786F32">
              <w:rPr>
                <w:rFonts w:ascii="Times New Roman" w:hAnsi="Times New Roman" w:cs="Times New Roman"/>
                <w:iCs/>
                <w:sz w:val="22"/>
                <w:szCs w:val="22"/>
              </w:rPr>
              <w:t>trategy also creates a pipeline</w:t>
            </w:r>
            <w:r>
              <w:rPr>
                <w:rFonts w:ascii="Times New Roman" w:hAnsi="Times New Roman" w:cs="Times New Roman"/>
                <w:iCs/>
                <w:sz w:val="22"/>
                <w:szCs w:val="22"/>
              </w:rPr>
              <w:t xml:space="preserve"> of college-ready s</w:t>
            </w:r>
            <w:r w:rsidR="00786F32">
              <w:rPr>
                <w:rFonts w:ascii="Times New Roman" w:hAnsi="Times New Roman" w:cs="Times New Roman"/>
                <w:iCs/>
                <w:sz w:val="22"/>
                <w:szCs w:val="22"/>
              </w:rPr>
              <w:t xml:space="preserve">tudent </w:t>
            </w:r>
            <w:r>
              <w:rPr>
                <w:rFonts w:ascii="Times New Roman" w:hAnsi="Times New Roman" w:cs="Times New Roman"/>
                <w:iCs/>
                <w:sz w:val="22"/>
                <w:szCs w:val="22"/>
              </w:rPr>
              <w:t>to enroll in AMSC baccalaureate programs after high school graduation, thus addressing an essential priority to sustain and grow high producing education</w:t>
            </w:r>
            <w:r w:rsidR="00A14FC1">
              <w:rPr>
                <w:rFonts w:ascii="Times New Roman" w:hAnsi="Times New Roman" w:cs="Times New Roman"/>
                <w:iCs/>
                <w:sz w:val="22"/>
                <w:szCs w:val="22"/>
              </w:rPr>
              <w:t>al</w:t>
            </w:r>
            <w:r>
              <w:rPr>
                <w:rFonts w:ascii="Times New Roman" w:hAnsi="Times New Roman" w:cs="Times New Roman"/>
                <w:iCs/>
                <w:sz w:val="22"/>
                <w:szCs w:val="22"/>
              </w:rPr>
              <w:t xml:space="preserve"> programs. </w:t>
            </w:r>
          </w:p>
        </w:tc>
      </w:tr>
      <w:tr w:rsidR="008C52EE" w:rsidRPr="00706AFD" w14:paraId="5FAF223F" w14:textId="77777777" w:rsidTr="00B87766">
        <w:tc>
          <w:tcPr>
            <w:tcW w:w="1980" w:type="dxa"/>
            <w:gridSpan w:val="2"/>
          </w:tcPr>
          <w:p w14:paraId="43C212F2" w14:textId="77777777" w:rsidR="008C52EE" w:rsidRPr="00706AFD" w:rsidRDefault="008C52EE" w:rsidP="007B7010">
            <w:pPr>
              <w:rPr>
                <w:rFonts w:ascii="Times New Roman" w:hAnsi="Times New Roman" w:cs="Times New Roman"/>
                <w:b/>
                <w:sz w:val="22"/>
              </w:rPr>
            </w:pPr>
            <w:r w:rsidRPr="00706AFD">
              <w:rPr>
                <w:rFonts w:ascii="Times New Roman" w:hAnsi="Times New Roman" w:cs="Times New Roman"/>
                <w:b/>
                <w:sz w:val="22"/>
              </w:rPr>
              <w:t>Primary Point of Contact</w:t>
            </w:r>
          </w:p>
        </w:tc>
        <w:tc>
          <w:tcPr>
            <w:tcW w:w="9540" w:type="dxa"/>
          </w:tcPr>
          <w:p w14:paraId="7997C1D0" w14:textId="789D860A" w:rsidR="008C52EE" w:rsidRPr="00706AFD" w:rsidRDefault="00B7306E" w:rsidP="0006615A">
            <w:pPr>
              <w:contextualSpacing/>
              <w:rPr>
                <w:rFonts w:ascii="Times New Roman" w:hAnsi="Times New Roman" w:cs="Times New Roman"/>
                <w:sz w:val="22"/>
              </w:rPr>
            </w:pPr>
            <w:r>
              <w:rPr>
                <w:rFonts w:ascii="Times New Roman" w:hAnsi="Times New Roman" w:cs="Times New Roman"/>
                <w:sz w:val="22"/>
              </w:rPr>
              <w:t xml:space="preserve">Name: </w:t>
            </w:r>
            <w:r w:rsidR="008C52EE" w:rsidRPr="00706AFD">
              <w:rPr>
                <w:rFonts w:ascii="Times New Roman" w:hAnsi="Times New Roman" w:cs="Times New Roman"/>
                <w:sz w:val="22"/>
              </w:rPr>
              <w:t>Erica Shirley</w:t>
            </w:r>
          </w:p>
          <w:p w14:paraId="4DF34564" w14:textId="253329DD" w:rsidR="008C52EE" w:rsidRPr="00706AFD" w:rsidRDefault="008C52EE" w:rsidP="0006615A">
            <w:pPr>
              <w:contextualSpacing/>
              <w:rPr>
                <w:rFonts w:ascii="Times New Roman" w:hAnsi="Times New Roman" w:cs="Times New Roman"/>
                <w:sz w:val="22"/>
              </w:rPr>
            </w:pPr>
            <w:r w:rsidRPr="00706AFD">
              <w:rPr>
                <w:rFonts w:ascii="Times New Roman" w:hAnsi="Times New Roman" w:cs="Times New Roman"/>
                <w:sz w:val="22"/>
              </w:rPr>
              <w:t xml:space="preserve">Title: </w:t>
            </w:r>
            <w:r w:rsidR="00B7306E">
              <w:rPr>
                <w:rFonts w:ascii="Times New Roman" w:hAnsi="Times New Roman" w:cs="Times New Roman"/>
                <w:sz w:val="22"/>
              </w:rPr>
              <w:t xml:space="preserve">  </w:t>
            </w:r>
            <w:r w:rsidRPr="00706AFD">
              <w:rPr>
                <w:rFonts w:ascii="Times New Roman" w:hAnsi="Times New Roman" w:cs="Times New Roman"/>
                <w:sz w:val="22"/>
              </w:rPr>
              <w:t>Assistant Director</w:t>
            </w:r>
            <w:r w:rsidR="00B7306E">
              <w:rPr>
                <w:rFonts w:ascii="Times New Roman" w:hAnsi="Times New Roman" w:cs="Times New Roman"/>
                <w:sz w:val="22"/>
              </w:rPr>
              <w:t xml:space="preserve">, Office of Outreach and </w:t>
            </w:r>
            <w:r w:rsidRPr="00706AFD">
              <w:rPr>
                <w:rFonts w:ascii="Times New Roman" w:hAnsi="Times New Roman" w:cs="Times New Roman"/>
                <w:sz w:val="22"/>
              </w:rPr>
              <w:t xml:space="preserve">Access </w:t>
            </w:r>
          </w:p>
          <w:p w14:paraId="3D862E68" w14:textId="66092EF2" w:rsidR="008C52EE" w:rsidRPr="00B7306E" w:rsidRDefault="008C52EE" w:rsidP="0006615A">
            <w:pPr>
              <w:contextualSpacing/>
              <w:rPr>
                <w:rFonts w:ascii="Times New Roman" w:hAnsi="Times New Roman" w:cs="Times New Roman"/>
                <w:sz w:val="22"/>
              </w:rPr>
            </w:pPr>
            <w:r w:rsidRPr="00706AFD">
              <w:rPr>
                <w:rFonts w:ascii="Times New Roman" w:hAnsi="Times New Roman" w:cs="Times New Roman"/>
                <w:sz w:val="22"/>
              </w:rPr>
              <w:t xml:space="preserve">Email: </w:t>
            </w:r>
            <w:hyperlink r:id="rId12" w:history="1">
              <w:r w:rsidR="008D3491" w:rsidRPr="004D625A">
                <w:rPr>
                  <w:rStyle w:val="Hyperlink"/>
                  <w:rFonts w:ascii="Times New Roman" w:hAnsi="Times New Roman" w:cs="Times New Roman"/>
                  <w:sz w:val="22"/>
                </w:rPr>
                <w:t>eshirley@atlm.edu</w:t>
              </w:r>
            </w:hyperlink>
          </w:p>
        </w:tc>
      </w:tr>
      <w:tr w:rsidR="008C52EE" w:rsidRPr="00706AFD" w14:paraId="1675126C" w14:textId="77777777" w:rsidTr="00B87766">
        <w:tc>
          <w:tcPr>
            <w:tcW w:w="1980" w:type="dxa"/>
            <w:gridSpan w:val="2"/>
          </w:tcPr>
          <w:p w14:paraId="5CC1BC40" w14:textId="77777777" w:rsidR="008C52EE" w:rsidRPr="00706AFD" w:rsidRDefault="008C52EE" w:rsidP="007B7010">
            <w:pPr>
              <w:rPr>
                <w:rFonts w:ascii="Times New Roman" w:hAnsi="Times New Roman" w:cs="Times New Roman"/>
                <w:b/>
                <w:sz w:val="22"/>
              </w:rPr>
            </w:pPr>
            <w:r w:rsidRPr="00706AFD">
              <w:rPr>
                <w:rFonts w:ascii="Times New Roman" w:hAnsi="Times New Roman" w:cs="Times New Roman"/>
                <w:b/>
                <w:sz w:val="22"/>
              </w:rPr>
              <w:t>Summary of Activities</w:t>
            </w:r>
          </w:p>
        </w:tc>
        <w:tc>
          <w:tcPr>
            <w:tcW w:w="9540" w:type="dxa"/>
          </w:tcPr>
          <w:p w14:paraId="6C9C65ED" w14:textId="405F97DB" w:rsidR="00BE52D8" w:rsidRDefault="00176896" w:rsidP="00687D65">
            <w:pPr>
              <w:contextualSpacing/>
              <w:jc w:val="both"/>
              <w:rPr>
                <w:rFonts w:ascii="Times New Roman" w:hAnsi="Times New Roman" w:cs="Times New Roman"/>
                <w:sz w:val="22"/>
              </w:rPr>
            </w:pPr>
            <w:r>
              <w:rPr>
                <w:rFonts w:ascii="Times New Roman" w:hAnsi="Times New Roman" w:cs="Times New Roman"/>
                <w:sz w:val="22"/>
              </w:rPr>
              <w:t>The</w:t>
            </w:r>
            <w:r w:rsidR="00AA51D2">
              <w:rPr>
                <w:rFonts w:ascii="Times New Roman" w:hAnsi="Times New Roman" w:cs="Times New Roman"/>
                <w:sz w:val="22"/>
              </w:rPr>
              <w:t xml:space="preserve"> AMSC dual enrollment strategies</w:t>
            </w:r>
            <w:r>
              <w:rPr>
                <w:rFonts w:ascii="Times New Roman" w:hAnsi="Times New Roman" w:cs="Times New Roman"/>
                <w:sz w:val="22"/>
              </w:rPr>
              <w:t xml:space="preserve"> cover a range of activities, including</w:t>
            </w:r>
            <w:r w:rsidR="00AA51D2">
              <w:rPr>
                <w:rFonts w:ascii="Times New Roman" w:hAnsi="Times New Roman" w:cs="Times New Roman"/>
                <w:sz w:val="22"/>
              </w:rPr>
              <w:t>:</w:t>
            </w:r>
            <w:r>
              <w:rPr>
                <w:rFonts w:ascii="Times New Roman" w:hAnsi="Times New Roman" w:cs="Times New Roman"/>
                <w:sz w:val="22"/>
              </w:rPr>
              <w:t xml:space="preserve"> recruiting</w:t>
            </w:r>
            <w:r w:rsidR="00AA51D2">
              <w:rPr>
                <w:rFonts w:ascii="Times New Roman" w:hAnsi="Times New Roman" w:cs="Times New Roman"/>
                <w:sz w:val="22"/>
              </w:rPr>
              <w:t xml:space="preserve"> (enhanced)</w:t>
            </w:r>
            <w:r>
              <w:rPr>
                <w:rFonts w:ascii="Times New Roman" w:hAnsi="Times New Roman" w:cs="Times New Roman"/>
                <w:sz w:val="22"/>
              </w:rPr>
              <w:t xml:space="preserve">, transportation, financial aid/admissions literacy </w:t>
            </w:r>
            <w:r w:rsidR="00AA51D2">
              <w:rPr>
                <w:rFonts w:ascii="Times New Roman" w:hAnsi="Times New Roman" w:cs="Times New Roman"/>
                <w:sz w:val="22"/>
              </w:rPr>
              <w:t xml:space="preserve">workshops, academic support, book loans (to defray cost), </w:t>
            </w:r>
            <w:r>
              <w:rPr>
                <w:rFonts w:ascii="Times New Roman" w:hAnsi="Times New Roman" w:cs="Times New Roman"/>
                <w:sz w:val="22"/>
              </w:rPr>
              <w:t>campus orientations</w:t>
            </w:r>
            <w:r w:rsidR="00AA51D2">
              <w:rPr>
                <w:rFonts w:ascii="Times New Roman" w:hAnsi="Times New Roman" w:cs="Times New Roman"/>
                <w:sz w:val="22"/>
              </w:rPr>
              <w:t>,</w:t>
            </w:r>
            <w:r>
              <w:rPr>
                <w:rFonts w:ascii="Times New Roman" w:hAnsi="Times New Roman" w:cs="Times New Roman"/>
                <w:sz w:val="22"/>
              </w:rPr>
              <w:t xml:space="preserve"> and day-to-day monitoring</w:t>
            </w:r>
            <w:r w:rsidR="00AA51D2">
              <w:rPr>
                <w:rFonts w:ascii="Times New Roman" w:hAnsi="Times New Roman" w:cs="Times New Roman"/>
                <w:sz w:val="22"/>
              </w:rPr>
              <w:t xml:space="preserve"> of student </w:t>
            </w:r>
            <w:r w:rsidR="00EA30C4">
              <w:rPr>
                <w:rFonts w:ascii="Times New Roman" w:hAnsi="Times New Roman" w:cs="Times New Roman"/>
                <w:sz w:val="22"/>
              </w:rPr>
              <w:t>progress</w:t>
            </w:r>
            <w:r w:rsidR="00AA51D2">
              <w:rPr>
                <w:rFonts w:ascii="Times New Roman" w:hAnsi="Times New Roman" w:cs="Times New Roman"/>
                <w:sz w:val="22"/>
              </w:rPr>
              <w:t xml:space="preserve"> </w:t>
            </w:r>
            <w:r>
              <w:rPr>
                <w:rFonts w:ascii="Times New Roman" w:hAnsi="Times New Roman" w:cs="Times New Roman"/>
                <w:sz w:val="22"/>
              </w:rPr>
              <w:t xml:space="preserve">to ensure </w:t>
            </w:r>
            <w:r w:rsidR="00AA51D2">
              <w:rPr>
                <w:rFonts w:ascii="Times New Roman" w:hAnsi="Times New Roman" w:cs="Times New Roman"/>
                <w:sz w:val="22"/>
              </w:rPr>
              <w:t xml:space="preserve">the </w:t>
            </w:r>
            <w:r>
              <w:rPr>
                <w:rFonts w:ascii="Times New Roman" w:hAnsi="Times New Roman" w:cs="Times New Roman"/>
                <w:sz w:val="22"/>
              </w:rPr>
              <w:t xml:space="preserve">success of </w:t>
            </w:r>
            <w:r w:rsidR="00AA51D2">
              <w:rPr>
                <w:rFonts w:ascii="Times New Roman" w:hAnsi="Times New Roman" w:cs="Times New Roman"/>
                <w:sz w:val="22"/>
              </w:rPr>
              <w:t xml:space="preserve">dual enrollment </w:t>
            </w:r>
            <w:r>
              <w:rPr>
                <w:rFonts w:ascii="Times New Roman" w:hAnsi="Times New Roman" w:cs="Times New Roman"/>
                <w:sz w:val="22"/>
              </w:rPr>
              <w:t xml:space="preserve">students.  </w:t>
            </w:r>
            <w:r w:rsidR="00AA51D2">
              <w:rPr>
                <w:rFonts w:ascii="Times New Roman" w:hAnsi="Times New Roman" w:cs="Times New Roman"/>
                <w:sz w:val="22"/>
              </w:rPr>
              <w:t>Increased emphasis</w:t>
            </w:r>
            <w:r w:rsidR="007E49CC">
              <w:rPr>
                <w:rFonts w:ascii="Times New Roman" w:hAnsi="Times New Roman" w:cs="Times New Roman"/>
                <w:sz w:val="22"/>
              </w:rPr>
              <w:t xml:space="preserve">, including early enrollment of high school students in the dual enrollment program, </w:t>
            </w:r>
            <w:r w:rsidR="00BE52D8">
              <w:rPr>
                <w:rFonts w:ascii="Times New Roman" w:hAnsi="Times New Roman" w:cs="Times New Roman"/>
                <w:sz w:val="22"/>
              </w:rPr>
              <w:t>has</w:t>
            </w:r>
            <w:r w:rsidR="00C10B4B">
              <w:rPr>
                <w:rFonts w:ascii="Times New Roman" w:hAnsi="Times New Roman" w:cs="Times New Roman"/>
                <w:sz w:val="22"/>
              </w:rPr>
              <w:t xml:space="preserve"> been placed on high school students attaining the Associate’s Degree at high school graduation</w:t>
            </w:r>
            <w:r w:rsidR="00D10344">
              <w:rPr>
                <w:rFonts w:ascii="Times New Roman" w:hAnsi="Times New Roman" w:cs="Times New Roman"/>
                <w:sz w:val="22"/>
              </w:rPr>
              <w:t xml:space="preserve">, and has led to </w:t>
            </w:r>
            <w:r w:rsidR="00AA51D2">
              <w:rPr>
                <w:rFonts w:ascii="Times New Roman" w:hAnsi="Times New Roman" w:cs="Times New Roman"/>
                <w:sz w:val="22"/>
              </w:rPr>
              <w:t>success.</w:t>
            </w:r>
            <w:r w:rsidR="00A14FC1">
              <w:rPr>
                <w:rFonts w:ascii="Times New Roman" w:hAnsi="Times New Roman" w:cs="Times New Roman"/>
                <w:sz w:val="22"/>
              </w:rPr>
              <w:t xml:space="preserve"> </w:t>
            </w:r>
          </w:p>
          <w:p w14:paraId="283414B3" w14:textId="77777777" w:rsidR="00A14FC1" w:rsidRDefault="00A14FC1" w:rsidP="00687D65">
            <w:pPr>
              <w:contextualSpacing/>
              <w:jc w:val="both"/>
              <w:rPr>
                <w:rFonts w:ascii="Times New Roman" w:hAnsi="Times New Roman" w:cs="Times New Roman"/>
                <w:sz w:val="22"/>
              </w:rPr>
            </w:pPr>
          </w:p>
          <w:p w14:paraId="1B333496" w14:textId="31056F3B" w:rsidR="00BE52D8" w:rsidRPr="00706AFD" w:rsidRDefault="00D10344" w:rsidP="00687D65">
            <w:pPr>
              <w:contextualSpacing/>
              <w:jc w:val="both"/>
              <w:rPr>
                <w:rFonts w:ascii="Times New Roman" w:hAnsi="Times New Roman" w:cs="Times New Roman"/>
                <w:sz w:val="22"/>
              </w:rPr>
            </w:pPr>
            <w:r>
              <w:rPr>
                <w:rFonts w:ascii="Times New Roman" w:hAnsi="Times New Roman" w:cs="Times New Roman"/>
                <w:sz w:val="22"/>
              </w:rPr>
              <w:t xml:space="preserve">In the past, this </w:t>
            </w:r>
            <w:r w:rsidR="00A14FC1">
              <w:rPr>
                <w:rFonts w:ascii="Times New Roman" w:hAnsi="Times New Roman" w:cs="Times New Roman"/>
                <w:sz w:val="22"/>
              </w:rPr>
              <w:t>strategy focus</w:t>
            </w:r>
            <w:r>
              <w:rPr>
                <w:rFonts w:ascii="Times New Roman" w:hAnsi="Times New Roman" w:cs="Times New Roman"/>
                <w:sz w:val="22"/>
              </w:rPr>
              <w:t>ed</w:t>
            </w:r>
            <w:r w:rsidR="00A14FC1">
              <w:rPr>
                <w:rFonts w:ascii="Times New Roman" w:hAnsi="Times New Roman" w:cs="Times New Roman"/>
                <w:sz w:val="22"/>
              </w:rPr>
              <w:t xml:space="preserve"> on </w:t>
            </w:r>
            <w:r w:rsidR="00A14FC1" w:rsidRPr="00706AFD">
              <w:rPr>
                <w:rFonts w:ascii="Times New Roman" w:hAnsi="Times New Roman" w:cs="Times New Roman"/>
                <w:sz w:val="22"/>
              </w:rPr>
              <w:t>three Early College partnerships (Maynard Jackson, Booker T. Washington, and Carver Early College</w:t>
            </w:r>
            <w:r w:rsidR="00A14FC1">
              <w:rPr>
                <w:rFonts w:ascii="Times New Roman" w:hAnsi="Times New Roman" w:cs="Times New Roman"/>
                <w:sz w:val="22"/>
              </w:rPr>
              <w:t xml:space="preserve"> High Schools</w:t>
            </w:r>
            <w:r w:rsidR="00687D65">
              <w:rPr>
                <w:rFonts w:ascii="Times New Roman" w:hAnsi="Times New Roman" w:cs="Times New Roman"/>
                <w:sz w:val="22"/>
              </w:rPr>
              <w:t>). In spring 2016, AMSC secured</w:t>
            </w:r>
            <w:r w:rsidR="00A14FC1" w:rsidRPr="00706AFD">
              <w:rPr>
                <w:rFonts w:ascii="Times New Roman" w:hAnsi="Times New Roman" w:cs="Times New Roman"/>
                <w:sz w:val="22"/>
              </w:rPr>
              <w:t xml:space="preserve"> an</w:t>
            </w:r>
            <w:r>
              <w:rPr>
                <w:rFonts w:ascii="Times New Roman" w:hAnsi="Times New Roman" w:cs="Times New Roman"/>
                <w:sz w:val="22"/>
              </w:rPr>
              <w:t xml:space="preserve"> additional</w:t>
            </w:r>
            <w:r w:rsidR="00A14FC1" w:rsidRPr="00706AFD">
              <w:rPr>
                <w:rFonts w:ascii="Times New Roman" w:hAnsi="Times New Roman" w:cs="Times New Roman"/>
                <w:sz w:val="22"/>
              </w:rPr>
              <w:t xml:space="preserve"> Early College partnership with D.M</w:t>
            </w:r>
            <w:r>
              <w:rPr>
                <w:rFonts w:ascii="Times New Roman" w:hAnsi="Times New Roman" w:cs="Times New Roman"/>
                <w:sz w:val="22"/>
              </w:rPr>
              <w:t>. Ther</w:t>
            </w:r>
            <w:r w:rsidR="00687D65">
              <w:rPr>
                <w:rFonts w:ascii="Times New Roman" w:hAnsi="Times New Roman" w:cs="Times New Roman"/>
                <w:sz w:val="22"/>
              </w:rPr>
              <w:t>rell, which the College</w:t>
            </w:r>
            <w:r>
              <w:rPr>
                <w:rFonts w:ascii="Times New Roman" w:hAnsi="Times New Roman" w:cs="Times New Roman"/>
                <w:sz w:val="22"/>
              </w:rPr>
              <w:t xml:space="preserve"> now provides</w:t>
            </w:r>
            <w:r w:rsidR="00D440E5">
              <w:rPr>
                <w:rFonts w:ascii="Times New Roman" w:hAnsi="Times New Roman" w:cs="Times New Roman"/>
                <w:sz w:val="22"/>
              </w:rPr>
              <w:t xml:space="preserve"> four (4)</w:t>
            </w:r>
            <w:r w:rsidR="00A14FC1" w:rsidRPr="00706AFD">
              <w:rPr>
                <w:rFonts w:ascii="Times New Roman" w:hAnsi="Times New Roman" w:cs="Times New Roman"/>
                <w:sz w:val="22"/>
              </w:rPr>
              <w:t xml:space="preserve"> </w:t>
            </w:r>
            <w:r>
              <w:rPr>
                <w:rFonts w:ascii="Times New Roman" w:hAnsi="Times New Roman" w:cs="Times New Roman"/>
                <w:sz w:val="22"/>
              </w:rPr>
              <w:t>APS Early College programs</w:t>
            </w:r>
            <w:r w:rsidR="00A14FC1" w:rsidRPr="00706AFD">
              <w:rPr>
                <w:rFonts w:ascii="Times New Roman" w:hAnsi="Times New Roman" w:cs="Times New Roman"/>
                <w:sz w:val="22"/>
              </w:rPr>
              <w:t>.</w:t>
            </w:r>
          </w:p>
        </w:tc>
      </w:tr>
      <w:tr w:rsidR="008C52EE" w:rsidRPr="00706AFD" w14:paraId="3BB23BF0" w14:textId="77777777" w:rsidTr="00B87766">
        <w:tc>
          <w:tcPr>
            <w:tcW w:w="11520" w:type="dxa"/>
            <w:gridSpan w:val="3"/>
          </w:tcPr>
          <w:p w14:paraId="245067FE" w14:textId="6B02FC78" w:rsidR="008C52EE" w:rsidRPr="00706AFD" w:rsidRDefault="008C52EE" w:rsidP="00331A76">
            <w:pPr>
              <w:rPr>
                <w:rFonts w:ascii="Times New Roman" w:hAnsi="Times New Roman" w:cs="Times New Roman"/>
                <w:i/>
                <w:sz w:val="22"/>
              </w:rPr>
            </w:pPr>
            <w:r w:rsidRPr="00706AFD">
              <w:rPr>
                <w:rFonts w:ascii="Times New Roman" w:hAnsi="Times New Roman" w:cs="Times New Roman"/>
                <w:b/>
                <w:sz w:val="22"/>
              </w:rPr>
              <w:t>Measures of Progress and Success</w:t>
            </w:r>
            <w:r w:rsidR="005C1460" w:rsidRPr="005C1460">
              <w:rPr>
                <w:rFonts w:ascii="Times New Roman" w:hAnsi="Times New Roman" w:cs="Times New Roman"/>
                <w:sz w:val="22"/>
              </w:rPr>
              <w:t xml:space="preserve"> </w:t>
            </w:r>
          </w:p>
        </w:tc>
      </w:tr>
      <w:tr w:rsidR="008C52EE" w:rsidRPr="00706AFD" w14:paraId="0DC1EA80" w14:textId="77777777" w:rsidTr="00B87766">
        <w:tc>
          <w:tcPr>
            <w:tcW w:w="1980" w:type="dxa"/>
            <w:gridSpan w:val="2"/>
          </w:tcPr>
          <w:p w14:paraId="3FB236A9" w14:textId="77777777" w:rsidR="008C52EE" w:rsidRPr="00706AFD" w:rsidRDefault="008C52EE" w:rsidP="00A4516F">
            <w:pPr>
              <w:rPr>
                <w:rFonts w:ascii="Times New Roman" w:hAnsi="Times New Roman" w:cs="Times New Roman"/>
                <w:b/>
                <w:sz w:val="22"/>
              </w:rPr>
            </w:pPr>
            <w:r w:rsidRPr="00706AFD">
              <w:rPr>
                <w:rFonts w:ascii="Times New Roman" w:hAnsi="Times New Roman" w:cs="Times New Roman"/>
                <w:b/>
                <w:sz w:val="22"/>
              </w:rPr>
              <w:t>Measure, metric, or data element</w:t>
            </w:r>
          </w:p>
        </w:tc>
        <w:tc>
          <w:tcPr>
            <w:tcW w:w="9540" w:type="dxa"/>
          </w:tcPr>
          <w:p w14:paraId="4F9B2406" w14:textId="62366F44" w:rsidR="008C52EE" w:rsidRPr="00826489" w:rsidRDefault="00FD1EB1" w:rsidP="00C40B92">
            <w:pPr>
              <w:contextualSpacing/>
              <w:rPr>
                <w:rFonts w:ascii="Times New Roman" w:hAnsi="Times New Roman" w:cs="Times New Roman"/>
                <w:sz w:val="22"/>
              </w:rPr>
            </w:pPr>
            <w:r>
              <w:rPr>
                <w:rFonts w:ascii="Times New Roman" w:hAnsi="Times New Roman" w:cs="Times New Roman"/>
                <w:sz w:val="22"/>
              </w:rPr>
              <w:t>(Indicated Below)</w:t>
            </w:r>
            <w:r w:rsidR="008C52EE" w:rsidRPr="00706AFD">
              <w:rPr>
                <w:rFonts w:ascii="Times New Roman" w:hAnsi="Times New Roman" w:cs="Times New Roman"/>
                <w:sz w:val="22"/>
              </w:rPr>
              <w:t xml:space="preserve"> </w:t>
            </w:r>
          </w:p>
        </w:tc>
      </w:tr>
      <w:tr w:rsidR="008C52EE" w:rsidRPr="00706AFD" w14:paraId="33713D6D" w14:textId="77777777" w:rsidTr="00B87766">
        <w:tc>
          <w:tcPr>
            <w:tcW w:w="540" w:type="dxa"/>
            <w:vMerge w:val="restart"/>
          </w:tcPr>
          <w:p w14:paraId="634DEEB0" w14:textId="77777777" w:rsidR="008C52EE" w:rsidRPr="00706AFD" w:rsidRDefault="008C52EE" w:rsidP="001300FC">
            <w:pPr>
              <w:spacing w:line="360" w:lineRule="auto"/>
              <w:rPr>
                <w:rFonts w:ascii="Times New Roman" w:hAnsi="Times New Roman" w:cs="Times New Roman"/>
                <w:b/>
                <w:sz w:val="22"/>
              </w:rPr>
            </w:pPr>
          </w:p>
        </w:tc>
        <w:tc>
          <w:tcPr>
            <w:tcW w:w="1440" w:type="dxa"/>
          </w:tcPr>
          <w:p w14:paraId="3FCACD00" w14:textId="77777777" w:rsidR="008C52EE" w:rsidRPr="00706AFD" w:rsidRDefault="008C52EE" w:rsidP="007B7010">
            <w:pPr>
              <w:rPr>
                <w:rFonts w:ascii="Times New Roman" w:hAnsi="Times New Roman" w:cs="Times New Roman"/>
                <w:b/>
                <w:sz w:val="22"/>
              </w:rPr>
            </w:pPr>
            <w:r w:rsidRPr="00706AFD">
              <w:rPr>
                <w:rFonts w:ascii="Times New Roman" w:hAnsi="Times New Roman" w:cs="Times New Roman"/>
                <w:b/>
                <w:sz w:val="22"/>
              </w:rPr>
              <w:t>Baseline measures</w:t>
            </w:r>
          </w:p>
        </w:tc>
        <w:tc>
          <w:tcPr>
            <w:tcW w:w="9540" w:type="dxa"/>
          </w:tcPr>
          <w:p w14:paraId="6DD5037A" w14:textId="1FF3612C" w:rsidR="0021491C" w:rsidRPr="0021491C" w:rsidRDefault="0021491C" w:rsidP="0021491C">
            <w:pPr>
              <w:ind w:left="1080" w:hanging="1080"/>
              <w:contextualSpacing/>
              <w:rPr>
                <w:rFonts w:ascii="Times New Roman" w:hAnsi="Times New Roman" w:cs="Times New Roman"/>
                <w:i/>
                <w:color w:val="FF6600"/>
                <w:sz w:val="22"/>
              </w:rPr>
            </w:pPr>
            <w:r w:rsidRPr="0021491C">
              <w:rPr>
                <w:rFonts w:ascii="Times New Roman" w:hAnsi="Times New Roman" w:cs="Times New Roman"/>
                <w:i/>
                <w:color w:val="FF6600"/>
                <w:sz w:val="22"/>
              </w:rPr>
              <w:t>Fall 2014</w:t>
            </w:r>
          </w:p>
          <w:p w14:paraId="7F2091FE" w14:textId="4E2EF861" w:rsidR="008C52EE" w:rsidRPr="00706AFD" w:rsidRDefault="0066646A" w:rsidP="006E782E">
            <w:pPr>
              <w:numPr>
                <w:ilvl w:val="1"/>
                <w:numId w:val="6"/>
              </w:numPr>
              <w:contextualSpacing/>
              <w:rPr>
                <w:rFonts w:ascii="Times New Roman" w:hAnsi="Times New Roman" w:cs="Times New Roman"/>
                <w:sz w:val="22"/>
              </w:rPr>
            </w:pPr>
            <w:r>
              <w:rPr>
                <w:rFonts w:ascii="Times New Roman" w:hAnsi="Times New Roman" w:cs="Times New Roman"/>
                <w:sz w:val="22"/>
              </w:rPr>
              <w:t xml:space="preserve">Dual </w:t>
            </w:r>
            <w:r w:rsidR="00772FE3">
              <w:rPr>
                <w:rFonts w:ascii="Times New Roman" w:hAnsi="Times New Roman" w:cs="Times New Roman"/>
                <w:sz w:val="22"/>
              </w:rPr>
              <w:t>Enrollment</w:t>
            </w:r>
            <w:r>
              <w:rPr>
                <w:rFonts w:ascii="Times New Roman" w:hAnsi="Times New Roman" w:cs="Times New Roman"/>
                <w:sz w:val="22"/>
              </w:rPr>
              <w:t xml:space="preserve"> Headcount</w:t>
            </w:r>
            <w:r w:rsidR="002F5462">
              <w:rPr>
                <w:rFonts w:ascii="Times New Roman" w:hAnsi="Times New Roman" w:cs="Times New Roman"/>
                <w:sz w:val="22"/>
              </w:rPr>
              <w:t xml:space="preserve">: </w:t>
            </w:r>
            <w:r w:rsidR="00D440E5">
              <w:rPr>
                <w:rFonts w:ascii="Times New Roman" w:hAnsi="Times New Roman" w:cs="Times New Roman"/>
                <w:sz w:val="22"/>
              </w:rPr>
              <w:t>86</w:t>
            </w:r>
            <w:r w:rsidR="0021491C">
              <w:rPr>
                <w:rFonts w:ascii="Times New Roman" w:hAnsi="Times New Roman" w:cs="Times New Roman"/>
                <w:sz w:val="22"/>
              </w:rPr>
              <w:t xml:space="preserve"> Headcount </w:t>
            </w:r>
          </w:p>
          <w:p w14:paraId="7020CBF1" w14:textId="1481FF54" w:rsidR="008C52EE" w:rsidRDefault="008C52EE" w:rsidP="006E782E">
            <w:pPr>
              <w:numPr>
                <w:ilvl w:val="1"/>
                <w:numId w:val="6"/>
              </w:numPr>
              <w:contextualSpacing/>
              <w:rPr>
                <w:rFonts w:ascii="Times New Roman" w:hAnsi="Times New Roman" w:cs="Times New Roman"/>
                <w:sz w:val="22"/>
              </w:rPr>
            </w:pPr>
            <w:r w:rsidRPr="00706AFD">
              <w:rPr>
                <w:rFonts w:ascii="Times New Roman" w:hAnsi="Times New Roman" w:cs="Times New Roman"/>
                <w:sz w:val="22"/>
              </w:rPr>
              <w:t xml:space="preserve">Pass Rates: </w:t>
            </w:r>
            <w:r w:rsidR="003D28BD">
              <w:rPr>
                <w:rFonts w:ascii="Times New Roman" w:hAnsi="Times New Roman" w:cs="Times New Roman"/>
                <w:sz w:val="22"/>
              </w:rPr>
              <w:t>89</w:t>
            </w:r>
            <w:r w:rsidR="0021491C">
              <w:rPr>
                <w:rFonts w:ascii="Times New Roman" w:hAnsi="Times New Roman" w:cs="Times New Roman"/>
                <w:sz w:val="22"/>
              </w:rPr>
              <w:t xml:space="preserve">% </w:t>
            </w:r>
          </w:p>
          <w:p w14:paraId="1FDB1995" w14:textId="5EC2732D" w:rsidR="003D28BD" w:rsidRPr="003D28BD" w:rsidRDefault="00416CAA" w:rsidP="006E782E">
            <w:pPr>
              <w:numPr>
                <w:ilvl w:val="1"/>
                <w:numId w:val="6"/>
              </w:numPr>
              <w:contextualSpacing/>
              <w:rPr>
                <w:rFonts w:ascii="Times New Roman" w:hAnsi="Times New Roman" w:cs="Times New Roman"/>
                <w:sz w:val="22"/>
              </w:rPr>
            </w:pPr>
            <w:r>
              <w:rPr>
                <w:rFonts w:ascii="Times New Roman" w:hAnsi="Times New Roman" w:cs="Times New Roman"/>
                <w:sz w:val="22"/>
              </w:rPr>
              <w:t>Post-Secondary Credentials Awarded to</w:t>
            </w:r>
            <w:r w:rsidR="003D28BD">
              <w:rPr>
                <w:rFonts w:ascii="Times New Roman" w:hAnsi="Times New Roman" w:cs="Times New Roman"/>
                <w:sz w:val="22"/>
              </w:rPr>
              <w:t xml:space="preserve"> </w:t>
            </w:r>
            <w:r w:rsidR="00331A76">
              <w:rPr>
                <w:rFonts w:ascii="Times New Roman" w:hAnsi="Times New Roman" w:cs="Times New Roman"/>
                <w:sz w:val="22"/>
              </w:rPr>
              <w:t xml:space="preserve">High School </w:t>
            </w:r>
            <w:r w:rsidR="0021491C">
              <w:rPr>
                <w:rFonts w:ascii="Times New Roman" w:hAnsi="Times New Roman" w:cs="Times New Roman"/>
                <w:sz w:val="22"/>
              </w:rPr>
              <w:t>Students:</w:t>
            </w:r>
            <w:r w:rsidR="003D28BD">
              <w:rPr>
                <w:rFonts w:ascii="Times New Roman" w:hAnsi="Times New Roman" w:cs="Times New Roman"/>
                <w:sz w:val="22"/>
              </w:rPr>
              <w:t xml:space="preserve"> 0</w:t>
            </w:r>
          </w:p>
        </w:tc>
      </w:tr>
      <w:tr w:rsidR="008C52EE" w:rsidRPr="00706AFD" w14:paraId="7BC816E5" w14:textId="77777777" w:rsidTr="00B87766">
        <w:tc>
          <w:tcPr>
            <w:tcW w:w="540" w:type="dxa"/>
            <w:vMerge/>
          </w:tcPr>
          <w:p w14:paraId="1A4E3F57" w14:textId="77777777" w:rsidR="008C52EE" w:rsidRPr="00706AFD" w:rsidRDefault="008C52EE" w:rsidP="001300FC">
            <w:pPr>
              <w:spacing w:line="360" w:lineRule="auto"/>
              <w:rPr>
                <w:rFonts w:ascii="Times New Roman" w:hAnsi="Times New Roman" w:cs="Times New Roman"/>
                <w:b/>
                <w:sz w:val="22"/>
              </w:rPr>
            </w:pPr>
          </w:p>
        </w:tc>
        <w:tc>
          <w:tcPr>
            <w:tcW w:w="1440" w:type="dxa"/>
          </w:tcPr>
          <w:p w14:paraId="46E09DAF" w14:textId="77777777" w:rsidR="008C52EE" w:rsidRPr="00706AFD" w:rsidRDefault="008C52EE" w:rsidP="007B7010">
            <w:pPr>
              <w:rPr>
                <w:rFonts w:ascii="Times New Roman" w:hAnsi="Times New Roman" w:cs="Times New Roman"/>
                <w:b/>
                <w:sz w:val="22"/>
              </w:rPr>
            </w:pPr>
            <w:r w:rsidRPr="00706AFD">
              <w:rPr>
                <w:rFonts w:ascii="Times New Roman" w:hAnsi="Times New Roman" w:cs="Times New Roman"/>
                <w:b/>
                <w:sz w:val="22"/>
              </w:rPr>
              <w:t>Interim Measures of Progress</w:t>
            </w:r>
          </w:p>
        </w:tc>
        <w:tc>
          <w:tcPr>
            <w:tcW w:w="9540" w:type="dxa"/>
          </w:tcPr>
          <w:p w14:paraId="6DB67C9B" w14:textId="767A748C" w:rsidR="0006615A" w:rsidRPr="00706AFD" w:rsidRDefault="0021491C" w:rsidP="0006615A">
            <w:pPr>
              <w:spacing w:line="360" w:lineRule="auto"/>
              <w:rPr>
                <w:rFonts w:ascii="Times New Roman" w:hAnsi="Times New Roman" w:cs="Times New Roman"/>
                <w:i/>
                <w:color w:val="FF0000"/>
                <w:sz w:val="22"/>
              </w:rPr>
            </w:pPr>
            <w:r>
              <w:rPr>
                <w:rFonts w:ascii="Times New Roman" w:hAnsi="Times New Roman" w:cs="Times New Roman"/>
                <w:i/>
                <w:color w:val="FF0000"/>
                <w:sz w:val="22"/>
              </w:rPr>
              <w:t xml:space="preserve">Fall 2016 </w:t>
            </w:r>
            <w:r w:rsidR="0006615A">
              <w:rPr>
                <w:rFonts w:ascii="Times New Roman" w:hAnsi="Times New Roman" w:cs="Times New Roman"/>
                <w:i/>
                <w:color w:val="FF0000"/>
                <w:sz w:val="22"/>
              </w:rPr>
              <w:t xml:space="preserve"> </w:t>
            </w:r>
          </w:p>
          <w:p w14:paraId="4B0667B8" w14:textId="7AFB7DB2" w:rsidR="008C52EE" w:rsidRPr="00331A76" w:rsidRDefault="00224562" w:rsidP="00331A76">
            <w:pPr>
              <w:numPr>
                <w:ilvl w:val="1"/>
                <w:numId w:val="6"/>
              </w:numPr>
              <w:contextualSpacing/>
              <w:rPr>
                <w:rFonts w:ascii="Times New Roman" w:hAnsi="Times New Roman" w:cs="Times New Roman"/>
                <w:sz w:val="22"/>
              </w:rPr>
            </w:pPr>
            <w:r>
              <w:rPr>
                <w:rFonts w:ascii="Times New Roman" w:hAnsi="Times New Roman" w:cs="Times New Roman"/>
                <w:sz w:val="22"/>
              </w:rPr>
              <w:t xml:space="preserve">Dual </w:t>
            </w:r>
            <w:r w:rsidR="00331A76">
              <w:rPr>
                <w:rFonts w:ascii="Times New Roman" w:hAnsi="Times New Roman" w:cs="Times New Roman"/>
                <w:sz w:val="22"/>
              </w:rPr>
              <w:t>Enro</w:t>
            </w:r>
            <w:r w:rsidR="007E49CC">
              <w:rPr>
                <w:rFonts w:ascii="Times New Roman" w:hAnsi="Times New Roman" w:cs="Times New Roman"/>
                <w:sz w:val="22"/>
              </w:rPr>
              <w:t>llment</w:t>
            </w:r>
            <w:r>
              <w:rPr>
                <w:rFonts w:ascii="Times New Roman" w:hAnsi="Times New Roman" w:cs="Times New Roman"/>
                <w:sz w:val="22"/>
              </w:rPr>
              <w:t xml:space="preserve"> Headcount</w:t>
            </w:r>
            <w:r w:rsidR="007E49CC">
              <w:rPr>
                <w:rFonts w:ascii="Times New Roman" w:hAnsi="Times New Roman" w:cs="Times New Roman"/>
                <w:sz w:val="22"/>
              </w:rPr>
              <w:t xml:space="preserve">:  </w:t>
            </w:r>
            <w:r w:rsidR="00D440E5">
              <w:rPr>
                <w:rFonts w:ascii="Times New Roman" w:hAnsi="Times New Roman" w:cs="Times New Roman"/>
                <w:sz w:val="22"/>
              </w:rPr>
              <w:t xml:space="preserve">234 </w:t>
            </w:r>
            <w:r w:rsidR="0021491C">
              <w:rPr>
                <w:rFonts w:ascii="Times New Roman" w:hAnsi="Times New Roman" w:cs="Times New Roman"/>
                <w:sz w:val="22"/>
              </w:rPr>
              <w:t xml:space="preserve">Headcount </w:t>
            </w:r>
          </w:p>
          <w:p w14:paraId="3372BA44" w14:textId="054AE18B" w:rsidR="003D28BD" w:rsidRDefault="007E49CC" w:rsidP="006E782E">
            <w:pPr>
              <w:numPr>
                <w:ilvl w:val="1"/>
                <w:numId w:val="6"/>
              </w:numPr>
              <w:contextualSpacing/>
              <w:rPr>
                <w:rFonts w:ascii="Times New Roman" w:hAnsi="Times New Roman" w:cs="Times New Roman"/>
                <w:sz w:val="22"/>
              </w:rPr>
            </w:pPr>
            <w:r>
              <w:rPr>
                <w:rFonts w:ascii="Times New Roman" w:hAnsi="Times New Roman" w:cs="Times New Roman"/>
                <w:sz w:val="22"/>
              </w:rPr>
              <w:t xml:space="preserve">Pass Rates:  </w:t>
            </w:r>
            <w:r w:rsidR="00B93173">
              <w:rPr>
                <w:rFonts w:ascii="Times New Roman" w:hAnsi="Times New Roman" w:cs="Times New Roman"/>
                <w:sz w:val="22"/>
              </w:rPr>
              <w:t xml:space="preserve">87% </w:t>
            </w:r>
          </w:p>
          <w:p w14:paraId="2A904587" w14:textId="481712E3" w:rsidR="00331A76" w:rsidRPr="003D28BD" w:rsidRDefault="00331A76" w:rsidP="006E782E">
            <w:pPr>
              <w:numPr>
                <w:ilvl w:val="1"/>
                <w:numId w:val="6"/>
              </w:numPr>
              <w:contextualSpacing/>
              <w:rPr>
                <w:rFonts w:ascii="Times New Roman" w:hAnsi="Times New Roman" w:cs="Times New Roman"/>
                <w:sz w:val="22"/>
              </w:rPr>
            </w:pPr>
            <w:r>
              <w:rPr>
                <w:rFonts w:ascii="Times New Roman" w:hAnsi="Times New Roman" w:cs="Times New Roman"/>
                <w:sz w:val="22"/>
              </w:rPr>
              <w:t xml:space="preserve">Post-Secondary Credentials </w:t>
            </w:r>
            <w:r w:rsidR="00416CAA">
              <w:rPr>
                <w:rFonts w:ascii="Times New Roman" w:hAnsi="Times New Roman" w:cs="Times New Roman"/>
                <w:sz w:val="22"/>
              </w:rPr>
              <w:t>Awarded to High School Students</w:t>
            </w:r>
            <w:r w:rsidR="0021491C">
              <w:rPr>
                <w:rFonts w:ascii="Times New Roman" w:hAnsi="Times New Roman" w:cs="Times New Roman"/>
                <w:sz w:val="22"/>
              </w:rPr>
              <w:t xml:space="preserve">: </w:t>
            </w:r>
            <w:r w:rsidR="00B93173">
              <w:rPr>
                <w:rFonts w:ascii="Times New Roman" w:hAnsi="Times New Roman" w:cs="Times New Roman"/>
                <w:sz w:val="22"/>
              </w:rPr>
              <w:t>4</w:t>
            </w:r>
          </w:p>
        </w:tc>
      </w:tr>
      <w:tr w:rsidR="008C52EE" w:rsidRPr="00706AFD" w14:paraId="2D147CC6" w14:textId="77777777" w:rsidTr="00B87766">
        <w:tc>
          <w:tcPr>
            <w:tcW w:w="540" w:type="dxa"/>
            <w:vMerge/>
          </w:tcPr>
          <w:p w14:paraId="462351A4" w14:textId="131012E3" w:rsidR="008C52EE" w:rsidRPr="00706AFD" w:rsidRDefault="008C52EE" w:rsidP="001300FC">
            <w:pPr>
              <w:spacing w:line="360" w:lineRule="auto"/>
              <w:rPr>
                <w:rFonts w:ascii="Times New Roman" w:hAnsi="Times New Roman" w:cs="Times New Roman"/>
                <w:b/>
                <w:sz w:val="22"/>
              </w:rPr>
            </w:pPr>
          </w:p>
        </w:tc>
        <w:tc>
          <w:tcPr>
            <w:tcW w:w="1440" w:type="dxa"/>
          </w:tcPr>
          <w:p w14:paraId="53FFE38F" w14:textId="77777777" w:rsidR="008C52EE" w:rsidRPr="00706AFD" w:rsidRDefault="008C52EE" w:rsidP="007B7010">
            <w:pPr>
              <w:rPr>
                <w:rFonts w:ascii="Times New Roman" w:hAnsi="Times New Roman" w:cs="Times New Roman"/>
                <w:b/>
                <w:sz w:val="22"/>
              </w:rPr>
            </w:pPr>
            <w:r w:rsidRPr="00706AFD">
              <w:rPr>
                <w:rFonts w:ascii="Times New Roman" w:hAnsi="Times New Roman" w:cs="Times New Roman"/>
                <w:b/>
                <w:sz w:val="22"/>
              </w:rPr>
              <w:t>Measures of Success</w:t>
            </w:r>
          </w:p>
        </w:tc>
        <w:tc>
          <w:tcPr>
            <w:tcW w:w="9540" w:type="dxa"/>
          </w:tcPr>
          <w:p w14:paraId="24BB475F" w14:textId="4A7D22F4" w:rsidR="0021491C" w:rsidRDefault="0066646A" w:rsidP="00BE37FD">
            <w:pPr>
              <w:rPr>
                <w:rFonts w:ascii="Times New Roman" w:hAnsi="Times New Roman" w:cs="Times New Roman"/>
                <w:sz w:val="22"/>
              </w:rPr>
            </w:pPr>
            <w:r>
              <w:rPr>
                <w:rFonts w:ascii="Times New Roman" w:hAnsi="Times New Roman" w:cs="Times New Roman"/>
                <w:sz w:val="22"/>
              </w:rPr>
              <w:t xml:space="preserve"> </w:t>
            </w:r>
            <w:r w:rsidR="00873CAA" w:rsidRPr="00C40B92">
              <w:rPr>
                <w:rFonts w:ascii="Times New Roman" w:hAnsi="Times New Roman" w:cs="Times New Roman"/>
                <w:b/>
                <w:sz w:val="22"/>
              </w:rPr>
              <w:t>2025 Target</w:t>
            </w:r>
          </w:p>
          <w:p w14:paraId="3730F68E" w14:textId="0B6F0C74" w:rsidR="0021491C" w:rsidRPr="00DE5588" w:rsidRDefault="00224562" w:rsidP="00DE5588">
            <w:pPr>
              <w:pStyle w:val="ListParagraph"/>
              <w:numPr>
                <w:ilvl w:val="0"/>
                <w:numId w:val="9"/>
              </w:numPr>
              <w:tabs>
                <w:tab w:val="left" w:pos="1085"/>
              </w:tabs>
              <w:ind w:firstLine="5"/>
              <w:rPr>
                <w:rFonts w:ascii="Times New Roman" w:hAnsi="Times New Roman" w:cs="Times New Roman"/>
                <w:sz w:val="22"/>
              </w:rPr>
            </w:pPr>
            <w:r>
              <w:rPr>
                <w:rFonts w:ascii="Times New Roman" w:hAnsi="Times New Roman" w:cs="Times New Roman"/>
                <w:sz w:val="22"/>
              </w:rPr>
              <w:t xml:space="preserve">Dual </w:t>
            </w:r>
            <w:r w:rsidR="0021491C" w:rsidRPr="00DE5588">
              <w:rPr>
                <w:rFonts w:ascii="Times New Roman" w:hAnsi="Times New Roman" w:cs="Times New Roman"/>
                <w:sz w:val="22"/>
              </w:rPr>
              <w:t>Enrollment</w:t>
            </w:r>
            <w:r>
              <w:rPr>
                <w:rFonts w:ascii="Times New Roman" w:hAnsi="Times New Roman" w:cs="Times New Roman"/>
                <w:sz w:val="22"/>
              </w:rPr>
              <w:t xml:space="preserve"> Headcount</w:t>
            </w:r>
            <w:r w:rsidR="0021491C" w:rsidRPr="00DE5588">
              <w:rPr>
                <w:rFonts w:ascii="Times New Roman" w:hAnsi="Times New Roman" w:cs="Times New Roman"/>
                <w:sz w:val="22"/>
              </w:rPr>
              <w:t xml:space="preserve">: </w:t>
            </w:r>
            <w:r w:rsidR="00D440E5">
              <w:rPr>
                <w:rFonts w:ascii="Times New Roman" w:hAnsi="Times New Roman" w:cs="Times New Roman"/>
                <w:sz w:val="22"/>
              </w:rPr>
              <w:t>400</w:t>
            </w:r>
            <w:r>
              <w:rPr>
                <w:rFonts w:ascii="Times New Roman" w:hAnsi="Times New Roman" w:cs="Times New Roman"/>
                <w:sz w:val="22"/>
              </w:rPr>
              <w:t xml:space="preserve"> </w:t>
            </w:r>
            <w:r w:rsidR="0021491C" w:rsidRPr="00DE5588">
              <w:rPr>
                <w:rFonts w:ascii="Times New Roman" w:hAnsi="Times New Roman" w:cs="Times New Roman"/>
                <w:sz w:val="22"/>
              </w:rPr>
              <w:t>Headcount</w:t>
            </w:r>
            <w:r w:rsidR="00331A76" w:rsidRPr="00DE5588">
              <w:rPr>
                <w:rFonts w:ascii="Times New Roman" w:hAnsi="Times New Roman" w:cs="Times New Roman"/>
                <w:sz w:val="22"/>
              </w:rPr>
              <w:t xml:space="preserve"> </w:t>
            </w:r>
          </w:p>
          <w:p w14:paraId="6C69F530" w14:textId="77777777" w:rsidR="0021491C" w:rsidRPr="00DE5588" w:rsidRDefault="0021491C" w:rsidP="00DE5588">
            <w:pPr>
              <w:pStyle w:val="ListParagraph"/>
              <w:numPr>
                <w:ilvl w:val="0"/>
                <w:numId w:val="9"/>
              </w:numPr>
              <w:tabs>
                <w:tab w:val="left" w:pos="1085"/>
              </w:tabs>
              <w:ind w:firstLine="5"/>
              <w:rPr>
                <w:rFonts w:ascii="Times New Roman" w:hAnsi="Times New Roman" w:cs="Times New Roman"/>
                <w:sz w:val="22"/>
              </w:rPr>
            </w:pPr>
            <w:r w:rsidRPr="00DE5588">
              <w:rPr>
                <w:rFonts w:ascii="Times New Roman" w:hAnsi="Times New Roman" w:cs="Times New Roman"/>
                <w:sz w:val="22"/>
              </w:rPr>
              <w:t>Pass rate: 95%</w:t>
            </w:r>
            <w:r w:rsidR="00772FE3" w:rsidRPr="00DE5588">
              <w:rPr>
                <w:rFonts w:ascii="Times New Roman" w:hAnsi="Times New Roman" w:cs="Times New Roman"/>
                <w:sz w:val="22"/>
              </w:rPr>
              <w:t xml:space="preserve"> </w:t>
            </w:r>
          </w:p>
          <w:p w14:paraId="112AABFB" w14:textId="6275A9EF" w:rsidR="008C52EE" w:rsidRPr="00DE5588" w:rsidRDefault="0021491C" w:rsidP="00DE5588">
            <w:pPr>
              <w:pStyle w:val="ListParagraph"/>
              <w:numPr>
                <w:ilvl w:val="0"/>
                <w:numId w:val="9"/>
              </w:numPr>
              <w:tabs>
                <w:tab w:val="left" w:pos="1085"/>
              </w:tabs>
              <w:ind w:firstLine="5"/>
              <w:rPr>
                <w:rFonts w:ascii="Times New Roman" w:hAnsi="Times New Roman" w:cs="Times New Roman"/>
                <w:sz w:val="22"/>
              </w:rPr>
            </w:pPr>
            <w:r w:rsidRPr="00DE5588">
              <w:rPr>
                <w:rFonts w:ascii="Times New Roman" w:hAnsi="Times New Roman" w:cs="Times New Roman"/>
                <w:sz w:val="22"/>
              </w:rPr>
              <w:t>Post-Secondary Credentials Aw</w:t>
            </w:r>
            <w:r w:rsidR="002F5462">
              <w:rPr>
                <w:rFonts w:ascii="Times New Roman" w:hAnsi="Times New Roman" w:cs="Times New Roman"/>
                <w:sz w:val="22"/>
              </w:rPr>
              <w:t>arded to High School Students: 16</w:t>
            </w:r>
          </w:p>
        </w:tc>
      </w:tr>
      <w:tr w:rsidR="008C52EE" w:rsidRPr="00706AFD" w14:paraId="0BE01427" w14:textId="77777777" w:rsidTr="00B87766">
        <w:tc>
          <w:tcPr>
            <w:tcW w:w="1980" w:type="dxa"/>
            <w:gridSpan w:val="2"/>
          </w:tcPr>
          <w:p w14:paraId="06038170" w14:textId="77777777" w:rsidR="008C52EE" w:rsidRPr="00706AFD" w:rsidRDefault="008C52EE" w:rsidP="001300FC">
            <w:pPr>
              <w:spacing w:line="360" w:lineRule="auto"/>
              <w:rPr>
                <w:rFonts w:ascii="Times New Roman" w:hAnsi="Times New Roman" w:cs="Times New Roman"/>
                <w:b/>
                <w:sz w:val="22"/>
              </w:rPr>
            </w:pPr>
            <w:r w:rsidRPr="00706AFD">
              <w:rPr>
                <w:rFonts w:ascii="Times New Roman" w:hAnsi="Times New Roman" w:cs="Times New Roman"/>
                <w:b/>
                <w:sz w:val="22"/>
              </w:rPr>
              <w:t>Lessons Learned</w:t>
            </w:r>
          </w:p>
        </w:tc>
        <w:tc>
          <w:tcPr>
            <w:tcW w:w="9540" w:type="dxa"/>
          </w:tcPr>
          <w:p w14:paraId="4F196DF2" w14:textId="76560E9A" w:rsidR="00F612FB" w:rsidRDefault="00CE464E" w:rsidP="00F04DB5">
            <w:pPr>
              <w:jc w:val="both"/>
              <w:rPr>
                <w:rFonts w:ascii="Times New Roman" w:hAnsi="Times New Roman" w:cs="Times New Roman"/>
                <w:sz w:val="22"/>
              </w:rPr>
            </w:pPr>
            <w:r>
              <w:rPr>
                <w:rFonts w:ascii="Times New Roman" w:hAnsi="Times New Roman" w:cs="Times New Roman"/>
                <w:sz w:val="22"/>
              </w:rPr>
              <w:t xml:space="preserve">The </w:t>
            </w:r>
            <w:r w:rsidR="00D440E5">
              <w:rPr>
                <w:rFonts w:ascii="Times New Roman" w:hAnsi="Times New Roman" w:cs="Times New Roman"/>
                <w:sz w:val="22"/>
              </w:rPr>
              <w:t>172</w:t>
            </w:r>
            <w:r w:rsidR="00EC50DF">
              <w:rPr>
                <w:rFonts w:ascii="Times New Roman" w:hAnsi="Times New Roman" w:cs="Times New Roman"/>
                <w:sz w:val="22"/>
              </w:rPr>
              <w:t>% increase</w:t>
            </w:r>
            <w:r>
              <w:rPr>
                <w:rFonts w:ascii="Times New Roman" w:hAnsi="Times New Roman" w:cs="Times New Roman"/>
                <w:sz w:val="22"/>
              </w:rPr>
              <w:t xml:space="preserve"> in </w:t>
            </w:r>
            <w:r w:rsidR="00EC50DF">
              <w:rPr>
                <w:rFonts w:ascii="Times New Roman" w:hAnsi="Times New Roman" w:cs="Times New Roman"/>
                <w:sz w:val="22"/>
              </w:rPr>
              <w:t xml:space="preserve">Dual </w:t>
            </w:r>
            <w:r>
              <w:rPr>
                <w:rFonts w:ascii="Times New Roman" w:hAnsi="Times New Roman" w:cs="Times New Roman"/>
                <w:sz w:val="22"/>
              </w:rPr>
              <w:t>enrollment</w:t>
            </w:r>
            <w:r w:rsidR="00EC50DF">
              <w:rPr>
                <w:rFonts w:ascii="Times New Roman" w:hAnsi="Times New Roman" w:cs="Times New Roman"/>
                <w:sz w:val="22"/>
              </w:rPr>
              <w:t xml:space="preserve"> students over a two-</w:t>
            </w:r>
            <w:r>
              <w:rPr>
                <w:rFonts w:ascii="Times New Roman" w:hAnsi="Times New Roman" w:cs="Times New Roman"/>
                <w:sz w:val="22"/>
              </w:rPr>
              <w:t>year per</w:t>
            </w:r>
            <w:r w:rsidR="00EC50DF">
              <w:rPr>
                <w:rFonts w:ascii="Times New Roman" w:hAnsi="Times New Roman" w:cs="Times New Roman"/>
                <w:sz w:val="22"/>
              </w:rPr>
              <w:t>iod demonstrate</w:t>
            </w:r>
            <w:r w:rsidR="00E33B86">
              <w:rPr>
                <w:rFonts w:ascii="Times New Roman" w:hAnsi="Times New Roman" w:cs="Times New Roman"/>
                <w:sz w:val="22"/>
              </w:rPr>
              <w:t>s</w:t>
            </w:r>
            <w:r w:rsidR="00EC50DF">
              <w:rPr>
                <w:rFonts w:ascii="Times New Roman" w:hAnsi="Times New Roman" w:cs="Times New Roman"/>
                <w:sz w:val="22"/>
              </w:rPr>
              <w:t xml:space="preserve"> the demand to continue this program. The dual enrollment student</w:t>
            </w:r>
            <w:r w:rsidR="00F612FB">
              <w:rPr>
                <w:rFonts w:ascii="Times New Roman" w:hAnsi="Times New Roman" w:cs="Times New Roman"/>
                <w:sz w:val="22"/>
              </w:rPr>
              <w:t>’s high pass rate of 87%, though slightly decreasing</w:t>
            </w:r>
            <w:r w:rsidR="00EC50DF">
              <w:rPr>
                <w:rFonts w:ascii="Times New Roman" w:hAnsi="Times New Roman" w:cs="Times New Roman"/>
                <w:sz w:val="22"/>
              </w:rPr>
              <w:t xml:space="preserve"> for fall </w:t>
            </w:r>
            <w:r w:rsidR="00F612FB">
              <w:rPr>
                <w:rFonts w:ascii="Times New Roman" w:hAnsi="Times New Roman" w:cs="Times New Roman"/>
                <w:sz w:val="22"/>
              </w:rPr>
              <w:t>2016, clearly demonstrates the</w:t>
            </w:r>
            <w:r w:rsidR="00EC50DF">
              <w:rPr>
                <w:rFonts w:ascii="Times New Roman" w:hAnsi="Times New Roman" w:cs="Times New Roman"/>
                <w:sz w:val="22"/>
              </w:rPr>
              <w:t xml:space="preserve"> capacity</w:t>
            </w:r>
            <w:r w:rsidR="00F612FB">
              <w:rPr>
                <w:rFonts w:ascii="Times New Roman" w:hAnsi="Times New Roman" w:cs="Times New Roman"/>
                <w:sz w:val="22"/>
              </w:rPr>
              <w:t xml:space="preserve"> of dual enrollment students</w:t>
            </w:r>
            <w:r w:rsidR="00E33B86">
              <w:rPr>
                <w:rFonts w:ascii="Times New Roman" w:hAnsi="Times New Roman" w:cs="Times New Roman"/>
                <w:sz w:val="22"/>
              </w:rPr>
              <w:t xml:space="preserve"> to succeed in c</w:t>
            </w:r>
            <w:r w:rsidR="00EC50DF">
              <w:rPr>
                <w:rFonts w:ascii="Times New Roman" w:hAnsi="Times New Roman" w:cs="Times New Roman"/>
                <w:sz w:val="22"/>
              </w:rPr>
              <w:t>ollege level classes. Moreover, the ability of dual enrollment students to graduate from high school with the Associate’s degree is a win-win for all stakeholders of the dual enrollm</w:t>
            </w:r>
            <w:r w:rsidR="00E33B86">
              <w:rPr>
                <w:rFonts w:ascii="Times New Roman" w:hAnsi="Times New Roman" w:cs="Times New Roman"/>
                <w:sz w:val="22"/>
              </w:rPr>
              <w:t xml:space="preserve">ent program, and identifies an </w:t>
            </w:r>
            <w:r w:rsidR="00F612FB">
              <w:rPr>
                <w:rFonts w:ascii="Times New Roman" w:hAnsi="Times New Roman" w:cs="Times New Roman"/>
                <w:sz w:val="22"/>
              </w:rPr>
              <w:t>important source of students to</w:t>
            </w:r>
            <w:r w:rsidR="00EC50DF">
              <w:rPr>
                <w:rFonts w:ascii="Times New Roman" w:hAnsi="Times New Roman" w:cs="Times New Roman"/>
                <w:sz w:val="22"/>
              </w:rPr>
              <w:t xml:space="preserve"> contribute to t</w:t>
            </w:r>
            <w:r w:rsidR="00F612FB">
              <w:rPr>
                <w:rFonts w:ascii="Times New Roman" w:hAnsi="Times New Roman" w:cs="Times New Roman"/>
                <w:sz w:val="22"/>
              </w:rPr>
              <w:t xml:space="preserve">he State of Georgia’s </w:t>
            </w:r>
            <w:r w:rsidR="00EC50DF">
              <w:rPr>
                <w:rFonts w:ascii="Times New Roman" w:hAnsi="Times New Roman" w:cs="Times New Roman"/>
                <w:sz w:val="22"/>
              </w:rPr>
              <w:t xml:space="preserve">2025 CCG target.  </w:t>
            </w:r>
          </w:p>
          <w:p w14:paraId="7AA4D170" w14:textId="77777777" w:rsidR="00F612FB" w:rsidRDefault="00F612FB" w:rsidP="00F04DB5">
            <w:pPr>
              <w:jc w:val="both"/>
              <w:rPr>
                <w:rFonts w:ascii="Times New Roman" w:hAnsi="Times New Roman" w:cs="Times New Roman"/>
                <w:sz w:val="22"/>
              </w:rPr>
            </w:pPr>
          </w:p>
          <w:p w14:paraId="02ABD944" w14:textId="604F6F71" w:rsidR="008C52EE" w:rsidRPr="00706AFD" w:rsidRDefault="007750B5" w:rsidP="00F04DB5">
            <w:pPr>
              <w:jc w:val="both"/>
              <w:rPr>
                <w:rFonts w:ascii="Times New Roman" w:hAnsi="Times New Roman" w:cs="Times New Roman"/>
                <w:sz w:val="22"/>
              </w:rPr>
            </w:pPr>
            <w:r>
              <w:rPr>
                <w:rFonts w:ascii="Times New Roman" w:hAnsi="Times New Roman" w:cs="Times New Roman"/>
                <w:sz w:val="22"/>
              </w:rPr>
              <w:t xml:space="preserve">A </w:t>
            </w:r>
            <w:r w:rsidR="00D42ED0">
              <w:rPr>
                <w:rFonts w:ascii="Times New Roman" w:hAnsi="Times New Roman" w:cs="Times New Roman"/>
                <w:sz w:val="22"/>
              </w:rPr>
              <w:t>low studen</w:t>
            </w:r>
            <w:r>
              <w:rPr>
                <w:rFonts w:ascii="Times New Roman" w:hAnsi="Times New Roman" w:cs="Times New Roman"/>
                <w:sz w:val="22"/>
              </w:rPr>
              <w:t xml:space="preserve">t/staff ratio is important for </w:t>
            </w:r>
            <w:r w:rsidR="00007E3E">
              <w:rPr>
                <w:rFonts w:ascii="Times New Roman" w:hAnsi="Times New Roman" w:cs="Times New Roman"/>
                <w:sz w:val="22"/>
              </w:rPr>
              <w:t>the success of Dual Enrollment</w:t>
            </w:r>
            <w:r w:rsidR="00E33B86">
              <w:rPr>
                <w:rFonts w:ascii="Times New Roman" w:hAnsi="Times New Roman" w:cs="Times New Roman"/>
                <w:sz w:val="22"/>
              </w:rPr>
              <w:t xml:space="preserve"> (DE)</w:t>
            </w:r>
            <w:r w:rsidR="00D42ED0">
              <w:rPr>
                <w:rFonts w:ascii="Times New Roman" w:hAnsi="Times New Roman" w:cs="Times New Roman"/>
                <w:sz w:val="22"/>
              </w:rPr>
              <w:t xml:space="preserve"> s</w:t>
            </w:r>
            <w:r w:rsidR="00F612FB">
              <w:rPr>
                <w:rFonts w:ascii="Times New Roman" w:hAnsi="Times New Roman" w:cs="Times New Roman"/>
                <w:sz w:val="22"/>
              </w:rPr>
              <w:t>tudents</w:t>
            </w:r>
            <w:r>
              <w:rPr>
                <w:rFonts w:ascii="Times New Roman" w:hAnsi="Times New Roman" w:cs="Times New Roman"/>
                <w:sz w:val="22"/>
              </w:rPr>
              <w:t xml:space="preserve"> to provide the range </w:t>
            </w:r>
            <w:r w:rsidR="00E33B86">
              <w:rPr>
                <w:rFonts w:ascii="Times New Roman" w:hAnsi="Times New Roman" w:cs="Times New Roman"/>
                <w:sz w:val="22"/>
              </w:rPr>
              <w:t xml:space="preserve">and quality </w:t>
            </w:r>
            <w:r>
              <w:rPr>
                <w:rFonts w:ascii="Times New Roman" w:hAnsi="Times New Roman" w:cs="Times New Roman"/>
                <w:sz w:val="22"/>
              </w:rPr>
              <w:t>of services and sup</w:t>
            </w:r>
            <w:r w:rsidR="00F612FB">
              <w:rPr>
                <w:rFonts w:ascii="Times New Roman" w:hAnsi="Times New Roman" w:cs="Times New Roman"/>
                <w:sz w:val="22"/>
              </w:rPr>
              <w:t>port structure they require</w:t>
            </w:r>
            <w:r>
              <w:rPr>
                <w:rFonts w:ascii="Times New Roman" w:hAnsi="Times New Roman" w:cs="Times New Roman"/>
                <w:sz w:val="22"/>
              </w:rPr>
              <w:t>.</w:t>
            </w:r>
            <w:r w:rsidR="00D42ED0">
              <w:rPr>
                <w:rFonts w:ascii="Times New Roman" w:hAnsi="Times New Roman" w:cs="Times New Roman"/>
                <w:sz w:val="22"/>
              </w:rPr>
              <w:t xml:space="preserve"> </w:t>
            </w:r>
            <w:r w:rsidR="008C52EE" w:rsidRPr="00706AFD">
              <w:rPr>
                <w:rFonts w:ascii="Times New Roman" w:hAnsi="Times New Roman" w:cs="Times New Roman"/>
                <w:sz w:val="22"/>
              </w:rPr>
              <w:t xml:space="preserve">The </w:t>
            </w:r>
            <w:r w:rsidR="00007E3E">
              <w:rPr>
                <w:rFonts w:ascii="Times New Roman" w:hAnsi="Times New Roman" w:cs="Times New Roman"/>
                <w:sz w:val="22"/>
              </w:rPr>
              <w:t xml:space="preserve">AMSC </w:t>
            </w:r>
            <w:r w:rsidR="008C52EE" w:rsidRPr="00706AFD">
              <w:rPr>
                <w:rFonts w:ascii="Times New Roman" w:hAnsi="Times New Roman" w:cs="Times New Roman"/>
                <w:sz w:val="22"/>
              </w:rPr>
              <w:t xml:space="preserve">Dual Enrollment Coordinator is currently responsible for monitoring the academic success and individual </w:t>
            </w:r>
            <w:r w:rsidR="00F612FB">
              <w:rPr>
                <w:rFonts w:ascii="Times New Roman" w:hAnsi="Times New Roman" w:cs="Times New Roman"/>
                <w:sz w:val="22"/>
              </w:rPr>
              <w:t xml:space="preserve">needs of the Dual Enrollment </w:t>
            </w:r>
            <w:r w:rsidR="008C52EE" w:rsidRPr="00706AFD">
              <w:rPr>
                <w:rFonts w:ascii="Times New Roman" w:hAnsi="Times New Roman" w:cs="Times New Roman"/>
                <w:sz w:val="22"/>
              </w:rPr>
              <w:t xml:space="preserve">students.  Additional </w:t>
            </w:r>
            <w:r>
              <w:rPr>
                <w:rFonts w:ascii="Times New Roman" w:hAnsi="Times New Roman" w:cs="Times New Roman"/>
                <w:sz w:val="22"/>
              </w:rPr>
              <w:t xml:space="preserve">academic and social </w:t>
            </w:r>
            <w:r w:rsidR="008C52EE" w:rsidRPr="00706AFD">
              <w:rPr>
                <w:rFonts w:ascii="Times New Roman" w:hAnsi="Times New Roman" w:cs="Times New Roman"/>
                <w:sz w:val="22"/>
              </w:rPr>
              <w:t>support</w:t>
            </w:r>
            <w:r w:rsidR="00D42ED0">
              <w:rPr>
                <w:rFonts w:ascii="Times New Roman" w:hAnsi="Times New Roman" w:cs="Times New Roman"/>
                <w:sz w:val="22"/>
              </w:rPr>
              <w:t xml:space="preserve"> </w:t>
            </w:r>
            <w:r>
              <w:rPr>
                <w:rFonts w:ascii="Times New Roman" w:hAnsi="Times New Roman" w:cs="Times New Roman"/>
                <w:sz w:val="22"/>
              </w:rPr>
              <w:t xml:space="preserve">structures are essential and must be a </w:t>
            </w:r>
            <w:r w:rsidR="00D42ED0">
              <w:rPr>
                <w:rFonts w:ascii="Times New Roman" w:hAnsi="Times New Roman" w:cs="Times New Roman"/>
                <w:sz w:val="22"/>
              </w:rPr>
              <w:t>top priority to support</w:t>
            </w:r>
            <w:r w:rsidR="008C52EE" w:rsidRPr="00706AFD">
              <w:rPr>
                <w:rFonts w:ascii="Times New Roman" w:hAnsi="Times New Roman" w:cs="Times New Roman"/>
                <w:sz w:val="22"/>
              </w:rPr>
              <w:t xml:space="preserve"> anticipated growth in</w:t>
            </w:r>
            <w:r>
              <w:rPr>
                <w:rFonts w:ascii="Times New Roman" w:hAnsi="Times New Roman" w:cs="Times New Roman"/>
                <w:sz w:val="22"/>
              </w:rPr>
              <w:t xml:space="preserve"> proportion to</w:t>
            </w:r>
            <w:r w:rsidR="008C52EE" w:rsidRPr="00706AFD">
              <w:rPr>
                <w:rFonts w:ascii="Times New Roman" w:hAnsi="Times New Roman" w:cs="Times New Roman"/>
                <w:sz w:val="22"/>
              </w:rPr>
              <w:t xml:space="preserve"> the number of </w:t>
            </w:r>
            <w:r w:rsidR="00007E3E">
              <w:rPr>
                <w:rFonts w:ascii="Times New Roman" w:hAnsi="Times New Roman" w:cs="Times New Roman"/>
                <w:sz w:val="22"/>
              </w:rPr>
              <w:t>Dual Enrollment</w:t>
            </w:r>
            <w:r w:rsidR="00D42ED0">
              <w:rPr>
                <w:rFonts w:ascii="Times New Roman" w:hAnsi="Times New Roman" w:cs="Times New Roman"/>
                <w:sz w:val="22"/>
              </w:rPr>
              <w:t xml:space="preserve"> and </w:t>
            </w:r>
            <w:r w:rsidR="008C52EE" w:rsidRPr="00706AFD">
              <w:rPr>
                <w:rFonts w:ascii="Times New Roman" w:hAnsi="Times New Roman" w:cs="Times New Roman"/>
                <w:sz w:val="22"/>
              </w:rPr>
              <w:t>Early College students</w:t>
            </w:r>
            <w:r w:rsidR="00007E3E">
              <w:rPr>
                <w:rFonts w:ascii="Times New Roman" w:hAnsi="Times New Roman" w:cs="Times New Roman"/>
                <w:sz w:val="22"/>
              </w:rPr>
              <w:t xml:space="preserve">. </w:t>
            </w:r>
          </w:p>
          <w:p w14:paraId="15BAC445" w14:textId="77777777" w:rsidR="008C52EE" w:rsidRPr="00706AFD" w:rsidRDefault="008C52EE" w:rsidP="00F04DB5">
            <w:pPr>
              <w:ind w:left="360"/>
              <w:jc w:val="both"/>
              <w:rPr>
                <w:rFonts w:ascii="Times New Roman" w:hAnsi="Times New Roman" w:cs="Times New Roman"/>
                <w:sz w:val="22"/>
              </w:rPr>
            </w:pPr>
          </w:p>
          <w:p w14:paraId="3D75FA63" w14:textId="0A82F83C" w:rsidR="00D42ED0" w:rsidRDefault="00D42ED0" w:rsidP="00F04DB5">
            <w:pPr>
              <w:jc w:val="both"/>
              <w:rPr>
                <w:rFonts w:ascii="Times New Roman" w:hAnsi="Times New Roman" w:cs="Times New Roman"/>
                <w:sz w:val="22"/>
              </w:rPr>
            </w:pPr>
            <w:r>
              <w:rPr>
                <w:rFonts w:ascii="Times New Roman" w:hAnsi="Times New Roman" w:cs="Times New Roman"/>
                <w:sz w:val="22"/>
              </w:rPr>
              <w:t>Appr</w:t>
            </w:r>
            <w:r w:rsidR="00007E3E">
              <w:rPr>
                <w:rFonts w:ascii="Times New Roman" w:hAnsi="Times New Roman" w:cs="Times New Roman"/>
                <w:sz w:val="22"/>
              </w:rPr>
              <w:t>opriate Academic support for Dual Enrollment</w:t>
            </w:r>
            <w:r>
              <w:rPr>
                <w:rFonts w:ascii="Times New Roman" w:hAnsi="Times New Roman" w:cs="Times New Roman"/>
                <w:sz w:val="22"/>
              </w:rPr>
              <w:t xml:space="preserve"> students is essential. </w:t>
            </w:r>
            <w:r w:rsidR="00007E3E">
              <w:rPr>
                <w:rFonts w:ascii="Times New Roman" w:hAnsi="Times New Roman" w:cs="Times New Roman"/>
                <w:sz w:val="22"/>
              </w:rPr>
              <w:t>In FY2017,</w:t>
            </w:r>
            <w:r w:rsidR="008C52EE" w:rsidRPr="00706AFD">
              <w:rPr>
                <w:rFonts w:ascii="Times New Roman" w:hAnsi="Times New Roman" w:cs="Times New Roman"/>
                <w:sz w:val="22"/>
              </w:rPr>
              <w:t xml:space="preserve"> to ensure higher succes</w:t>
            </w:r>
            <w:r w:rsidR="00CD658B">
              <w:rPr>
                <w:rFonts w:ascii="Times New Roman" w:hAnsi="Times New Roman" w:cs="Times New Roman"/>
                <w:sz w:val="22"/>
              </w:rPr>
              <w:t xml:space="preserve">s and retention rates, </w:t>
            </w:r>
            <w:r w:rsidR="00007E3E">
              <w:rPr>
                <w:rFonts w:ascii="Times New Roman" w:hAnsi="Times New Roman" w:cs="Times New Roman"/>
                <w:sz w:val="22"/>
              </w:rPr>
              <w:t>Dual enrollment</w:t>
            </w:r>
            <w:r w:rsidR="00CD658B">
              <w:rPr>
                <w:rFonts w:ascii="Times New Roman" w:hAnsi="Times New Roman" w:cs="Times New Roman"/>
                <w:sz w:val="22"/>
              </w:rPr>
              <w:t xml:space="preserve"> students</w:t>
            </w:r>
            <w:r w:rsidR="00007E3E">
              <w:rPr>
                <w:rFonts w:ascii="Times New Roman" w:hAnsi="Times New Roman" w:cs="Times New Roman"/>
                <w:sz w:val="22"/>
              </w:rPr>
              <w:t xml:space="preserve"> were</w:t>
            </w:r>
            <w:r>
              <w:rPr>
                <w:rFonts w:ascii="Times New Roman" w:hAnsi="Times New Roman" w:cs="Times New Roman"/>
                <w:sz w:val="22"/>
              </w:rPr>
              <w:t xml:space="preserve"> </w:t>
            </w:r>
            <w:r w:rsidR="00CD658B">
              <w:rPr>
                <w:rFonts w:ascii="Times New Roman" w:hAnsi="Times New Roman" w:cs="Times New Roman"/>
                <w:sz w:val="22"/>
              </w:rPr>
              <w:t>provided additional support</w:t>
            </w:r>
            <w:r>
              <w:rPr>
                <w:rFonts w:ascii="Times New Roman" w:hAnsi="Times New Roman" w:cs="Times New Roman"/>
                <w:sz w:val="22"/>
              </w:rPr>
              <w:t xml:space="preserve"> by a </w:t>
            </w:r>
            <w:r w:rsidR="008C52EE" w:rsidRPr="00706AFD">
              <w:rPr>
                <w:rFonts w:ascii="Times New Roman" w:hAnsi="Times New Roman" w:cs="Times New Roman"/>
                <w:sz w:val="22"/>
              </w:rPr>
              <w:t>Student Supp</w:t>
            </w:r>
            <w:r w:rsidR="00F612FB">
              <w:rPr>
                <w:rFonts w:ascii="Times New Roman" w:hAnsi="Times New Roman" w:cs="Times New Roman"/>
                <w:sz w:val="22"/>
              </w:rPr>
              <w:t>ort Specialist (SSS), which allowed enhanced</w:t>
            </w:r>
            <w:r w:rsidR="008C52EE" w:rsidRPr="00706AFD">
              <w:rPr>
                <w:rFonts w:ascii="Times New Roman" w:hAnsi="Times New Roman" w:cs="Times New Roman"/>
                <w:sz w:val="22"/>
              </w:rPr>
              <w:t xml:space="preserve"> monitor</w:t>
            </w:r>
            <w:r w:rsidR="00F612FB">
              <w:rPr>
                <w:rFonts w:ascii="Times New Roman" w:hAnsi="Times New Roman" w:cs="Times New Roman"/>
                <w:sz w:val="22"/>
              </w:rPr>
              <w:t>ing of</w:t>
            </w:r>
            <w:r w:rsidR="00E33B86">
              <w:rPr>
                <w:rFonts w:ascii="Times New Roman" w:hAnsi="Times New Roman" w:cs="Times New Roman"/>
                <w:sz w:val="22"/>
              </w:rPr>
              <w:t xml:space="preserve"> students</w:t>
            </w:r>
            <w:r w:rsidR="008C52EE" w:rsidRPr="00706AFD">
              <w:rPr>
                <w:rFonts w:ascii="Times New Roman" w:hAnsi="Times New Roman" w:cs="Times New Roman"/>
                <w:sz w:val="22"/>
              </w:rPr>
              <w:t xml:space="preserve"> in danger of failing </w:t>
            </w:r>
            <w:r w:rsidR="00007E3E">
              <w:rPr>
                <w:rFonts w:ascii="Times New Roman" w:hAnsi="Times New Roman" w:cs="Times New Roman"/>
                <w:sz w:val="22"/>
              </w:rPr>
              <w:t xml:space="preserve">grades </w:t>
            </w:r>
            <w:r w:rsidR="008C52EE" w:rsidRPr="00706AFD">
              <w:rPr>
                <w:rFonts w:ascii="Times New Roman" w:hAnsi="Times New Roman" w:cs="Times New Roman"/>
                <w:sz w:val="22"/>
              </w:rPr>
              <w:t>prior to the midpoin</w:t>
            </w:r>
            <w:r w:rsidR="00007E3E">
              <w:rPr>
                <w:rFonts w:ascii="Times New Roman" w:hAnsi="Times New Roman" w:cs="Times New Roman"/>
                <w:sz w:val="22"/>
              </w:rPr>
              <w:t xml:space="preserve">t of the semester.  The SSS </w:t>
            </w:r>
            <w:r w:rsidR="00F612FB">
              <w:rPr>
                <w:rFonts w:ascii="Times New Roman" w:hAnsi="Times New Roman" w:cs="Times New Roman"/>
                <w:sz w:val="22"/>
              </w:rPr>
              <w:t xml:space="preserve">also </w:t>
            </w:r>
            <w:r w:rsidR="008C52EE" w:rsidRPr="00706AFD">
              <w:rPr>
                <w:rFonts w:ascii="Times New Roman" w:hAnsi="Times New Roman" w:cs="Times New Roman"/>
                <w:sz w:val="22"/>
              </w:rPr>
              <w:t>work</w:t>
            </w:r>
            <w:r w:rsidR="00007E3E">
              <w:rPr>
                <w:rFonts w:ascii="Times New Roman" w:hAnsi="Times New Roman" w:cs="Times New Roman"/>
                <w:sz w:val="22"/>
              </w:rPr>
              <w:t>ed</w:t>
            </w:r>
            <w:r w:rsidR="008C52EE" w:rsidRPr="00706AFD">
              <w:rPr>
                <w:rFonts w:ascii="Times New Roman" w:hAnsi="Times New Roman" w:cs="Times New Roman"/>
                <w:sz w:val="22"/>
              </w:rPr>
              <w:t xml:space="preserve"> closely with the Center for Academic Advisement</w:t>
            </w:r>
            <w:r w:rsidR="00F612FB">
              <w:rPr>
                <w:rFonts w:ascii="Times New Roman" w:hAnsi="Times New Roman" w:cs="Times New Roman"/>
                <w:sz w:val="22"/>
              </w:rPr>
              <w:t xml:space="preserve"> to</w:t>
            </w:r>
            <w:r w:rsidR="008C52EE" w:rsidRPr="00706AFD">
              <w:rPr>
                <w:rFonts w:ascii="Times New Roman" w:hAnsi="Times New Roman" w:cs="Times New Roman"/>
                <w:sz w:val="22"/>
              </w:rPr>
              <w:t xml:space="preserve"> </w:t>
            </w:r>
            <w:r w:rsidR="00F612FB">
              <w:rPr>
                <w:rFonts w:ascii="Times New Roman" w:hAnsi="Times New Roman" w:cs="Times New Roman"/>
                <w:sz w:val="22"/>
              </w:rPr>
              <w:t>“</w:t>
            </w:r>
            <w:r w:rsidR="008C52EE" w:rsidRPr="00706AFD">
              <w:rPr>
                <w:rFonts w:ascii="Times New Roman" w:hAnsi="Times New Roman" w:cs="Times New Roman"/>
                <w:sz w:val="22"/>
              </w:rPr>
              <w:t>Early Alert</w:t>
            </w:r>
            <w:r w:rsidR="00F612FB">
              <w:rPr>
                <w:rFonts w:ascii="Times New Roman" w:hAnsi="Times New Roman" w:cs="Times New Roman"/>
                <w:sz w:val="22"/>
              </w:rPr>
              <w:t xml:space="preserve">” students requiring </w:t>
            </w:r>
            <w:r w:rsidR="008C52EE" w:rsidRPr="00706AFD">
              <w:rPr>
                <w:rFonts w:ascii="Times New Roman" w:hAnsi="Times New Roman" w:cs="Times New Roman"/>
                <w:sz w:val="22"/>
              </w:rPr>
              <w:t>individualized academic</w:t>
            </w:r>
            <w:r w:rsidR="00E33B86">
              <w:rPr>
                <w:rFonts w:ascii="Times New Roman" w:hAnsi="Times New Roman" w:cs="Times New Roman"/>
                <w:sz w:val="22"/>
              </w:rPr>
              <w:t xml:space="preserve"> success</w:t>
            </w:r>
            <w:r w:rsidR="008C52EE" w:rsidRPr="00706AFD">
              <w:rPr>
                <w:rFonts w:ascii="Times New Roman" w:hAnsi="Times New Roman" w:cs="Times New Roman"/>
                <w:sz w:val="22"/>
              </w:rPr>
              <w:t xml:space="preserve"> plans</w:t>
            </w:r>
            <w:r w:rsidR="00F612FB">
              <w:rPr>
                <w:rFonts w:ascii="Times New Roman" w:hAnsi="Times New Roman" w:cs="Times New Roman"/>
                <w:sz w:val="22"/>
              </w:rPr>
              <w:t xml:space="preserve">. </w:t>
            </w:r>
            <w:r w:rsidR="006B1E7C">
              <w:rPr>
                <w:rFonts w:ascii="Times New Roman" w:hAnsi="Times New Roman" w:cs="Times New Roman"/>
                <w:sz w:val="22"/>
              </w:rPr>
              <w:t>The additional program support allowed the Dual Enrollment</w:t>
            </w:r>
            <w:r w:rsidR="006B1E7C" w:rsidRPr="00706AFD">
              <w:rPr>
                <w:rFonts w:ascii="Times New Roman" w:hAnsi="Times New Roman" w:cs="Times New Roman"/>
                <w:sz w:val="22"/>
              </w:rPr>
              <w:t xml:space="preserve"> Coordinator more time </w:t>
            </w:r>
            <w:r w:rsidR="006B1E7C">
              <w:rPr>
                <w:rFonts w:ascii="Times New Roman" w:hAnsi="Times New Roman" w:cs="Times New Roman"/>
                <w:sz w:val="22"/>
              </w:rPr>
              <w:t>to grow relationships with AMSC</w:t>
            </w:r>
            <w:r w:rsidR="006B1E7C" w:rsidRPr="00706AFD">
              <w:rPr>
                <w:rFonts w:ascii="Times New Roman" w:hAnsi="Times New Roman" w:cs="Times New Roman"/>
                <w:sz w:val="22"/>
              </w:rPr>
              <w:t xml:space="preserve"> current partners</w:t>
            </w:r>
            <w:r w:rsidR="006B1E7C">
              <w:rPr>
                <w:rFonts w:ascii="Times New Roman" w:hAnsi="Times New Roman" w:cs="Times New Roman"/>
                <w:sz w:val="22"/>
              </w:rPr>
              <w:t>, as well as the opportunity to establish</w:t>
            </w:r>
            <w:r w:rsidR="006B1E7C" w:rsidRPr="00706AFD">
              <w:rPr>
                <w:rFonts w:ascii="Times New Roman" w:hAnsi="Times New Roman" w:cs="Times New Roman"/>
                <w:sz w:val="22"/>
              </w:rPr>
              <w:t xml:space="preserve"> </w:t>
            </w:r>
            <w:r w:rsidR="006B1E7C">
              <w:rPr>
                <w:rFonts w:ascii="Times New Roman" w:hAnsi="Times New Roman" w:cs="Times New Roman"/>
                <w:sz w:val="22"/>
              </w:rPr>
              <w:t xml:space="preserve">new </w:t>
            </w:r>
            <w:r w:rsidR="006B1E7C" w:rsidRPr="00706AFD">
              <w:rPr>
                <w:rFonts w:ascii="Times New Roman" w:hAnsi="Times New Roman" w:cs="Times New Roman"/>
                <w:sz w:val="22"/>
              </w:rPr>
              <w:t>relationships with neigh</w:t>
            </w:r>
            <w:r w:rsidR="006B1E7C">
              <w:rPr>
                <w:rFonts w:ascii="Times New Roman" w:hAnsi="Times New Roman" w:cs="Times New Roman"/>
                <w:sz w:val="22"/>
              </w:rPr>
              <w:t>boring school districts</w:t>
            </w:r>
            <w:r w:rsidR="006B1E7C" w:rsidRPr="00706AFD">
              <w:rPr>
                <w:rFonts w:ascii="Times New Roman" w:hAnsi="Times New Roman" w:cs="Times New Roman"/>
                <w:sz w:val="22"/>
              </w:rPr>
              <w:t>.</w:t>
            </w:r>
          </w:p>
          <w:p w14:paraId="1AECD7C9" w14:textId="77777777" w:rsidR="00D42ED0" w:rsidRDefault="00D42ED0" w:rsidP="00F04DB5">
            <w:pPr>
              <w:jc w:val="both"/>
              <w:rPr>
                <w:rFonts w:ascii="Times New Roman" w:hAnsi="Times New Roman" w:cs="Times New Roman"/>
                <w:sz w:val="22"/>
              </w:rPr>
            </w:pPr>
          </w:p>
          <w:p w14:paraId="28B03B4F" w14:textId="0C8D54CC" w:rsidR="008C52EE" w:rsidRPr="00706AFD" w:rsidRDefault="00CE464E" w:rsidP="00F04DB5">
            <w:pPr>
              <w:jc w:val="both"/>
              <w:rPr>
                <w:rFonts w:ascii="Times New Roman" w:hAnsi="Times New Roman" w:cs="Times New Roman"/>
                <w:sz w:val="22"/>
              </w:rPr>
            </w:pPr>
            <w:r>
              <w:rPr>
                <w:rFonts w:ascii="Times New Roman" w:hAnsi="Times New Roman" w:cs="Times New Roman"/>
                <w:sz w:val="22"/>
              </w:rPr>
              <w:t>The adjustments outlined above</w:t>
            </w:r>
            <w:r w:rsidR="00007E3E">
              <w:rPr>
                <w:rFonts w:ascii="Times New Roman" w:hAnsi="Times New Roman" w:cs="Times New Roman"/>
                <w:sz w:val="22"/>
              </w:rPr>
              <w:t xml:space="preserve"> </w:t>
            </w:r>
            <w:r w:rsidR="008C52EE" w:rsidRPr="00706AFD">
              <w:rPr>
                <w:rFonts w:ascii="Times New Roman" w:hAnsi="Times New Roman" w:cs="Times New Roman"/>
                <w:sz w:val="22"/>
              </w:rPr>
              <w:t>allow</w:t>
            </w:r>
            <w:r w:rsidR="00007E3E">
              <w:rPr>
                <w:rFonts w:ascii="Times New Roman" w:hAnsi="Times New Roman" w:cs="Times New Roman"/>
                <w:sz w:val="22"/>
              </w:rPr>
              <w:t>ed</w:t>
            </w:r>
            <w:r w:rsidR="008C52EE" w:rsidRPr="00706AFD">
              <w:rPr>
                <w:rFonts w:ascii="Times New Roman" w:hAnsi="Times New Roman" w:cs="Times New Roman"/>
                <w:sz w:val="22"/>
              </w:rPr>
              <w:t xml:space="preserve"> more time for</w:t>
            </w:r>
            <w:r w:rsidR="00FD694E">
              <w:rPr>
                <w:rFonts w:ascii="Times New Roman" w:hAnsi="Times New Roman" w:cs="Times New Roman"/>
                <w:sz w:val="22"/>
              </w:rPr>
              <w:t xml:space="preserve"> the Dual Enrollment </w:t>
            </w:r>
            <w:r w:rsidR="00562C43">
              <w:rPr>
                <w:rFonts w:ascii="Times New Roman" w:hAnsi="Times New Roman" w:cs="Times New Roman"/>
                <w:sz w:val="22"/>
              </w:rPr>
              <w:t>Coordinator</w:t>
            </w:r>
            <w:r w:rsidR="008C52EE" w:rsidRPr="00706AFD">
              <w:rPr>
                <w:rFonts w:ascii="Times New Roman" w:hAnsi="Times New Roman" w:cs="Times New Roman"/>
                <w:sz w:val="22"/>
              </w:rPr>
              <w:t xml:space="preserve"> to plan academic</w:t>
            </w:r>
            <w:r w:rsidR="00EA0B58">
              <w:rPr>
                <w:rFonts w:ascii="Times New Roman" w:hAnsi="Times New Roman" w:cs="Times New Roman"/>
                <w:sz w:val="22"/>
              </w:rPr>
              <w:t xml:space="preserve"> and social events (i.e.,</w:t>
            </w:r>
            <w:r w:rsidR="008C52EE" w:rsidRPr="00706AFD">
              <w:rPr>
                <w:rFonts w:ascii="Times New Roman" w:hAnsi="Times New Roman" w:cs="Times New Roman"/>
                <w:sz w:val="22"/>
              </w:rPr>
              <w:t xml:space="preserve"> Resume Building Workshops, Field</w:t>
            </w:r>
            <w:r w:rsidR="003C6781">
              <w:rPr>
                <w:rFonts w:ascii="Times New Roman" w:hAnsi="Times New Roman" w:cs="Times New Roman"/>
                <w:sz w:val="22"/>
              </w:rPr>
              <w:t xml:space="preserve"> Trips, Early College Week</w:t>
            </w:r>
            <w:r w:rsidR="008C52EE" w:rsidRPr="00706AFD">
              <w:rPr>
                <w:rFonts w:ascii="Times New Roman" w:hAnsi="Times New Roman" w:cs="Times New Roman"/>
                <w:sz w:val="22"/>
              </w:rPr>
              <w:t xml:space="preserve">) for the students.  These enrichment </w:t>
            </w:r>
            <w:r w:rsidR="002E0D33">
              <w:rPr>
                <w:rFonts w:ascii="Times New Roman" w:hAnsi="Times New Roman" w:cs="Times New Roman"/>
                <w:sz w:val="22"/>
              </w:rPr>
              <w:t>activities</w:t>
            </w:r>
            <w:r w:rsidR="00007E3E">
              <w:rPr>
                <w:rFonts w:ascii="Times New Roman" w:hAnsi="Times New Roman" w:cs="Times New Roman"/>
                <w:sz w:val="22"/>
              </w:rPr>
              <w:t xml:space="preserve"> not only increased the interest</w:t>
            </w:r>
            <w:r w:rsidR="008C52EE" w:rsidRPr="00706AFD">
              <w:rPr>
                <w:rFonts w:ascii="Times New Roman" w:hAnsi="Times New Roman" w:cs="Times New Roman"/>
                <w:sz w:val="22"/>
              </w:rPr>
              <w:t xml:space="preserve"> </w:t>
            </w:r>
            <w:r w:rsidR="00007E3E">
              <w:rPr>
                <w:rFonts w:ascii="Times New Roman" w:hAnsi="Times New Roman" w:cs="Times New Roman"/>
                <w:sz w:val="22"/>
              </w:rPr>
              <w:t xml:space="preserve">of </w:t>
            </w:r>
            <w:r w:rsidR="008C52EE" w:rsidRPr="00706AFD">
              <w:rPr>
                <w:rFonts w:ascii="Times New Roman" w:hAnsi="Times New Roman" w:cs="Times New Roman"/>
                <w:sz w:val="22"/>
              </w:rPr>
              <w:t>stu</w:t>
            </w:r>
            <w:r w:rsidR="00007E3E">
              <w:rPr>
                <w:rFonts w:ascii="Times New Roman" w:hAnsi="Times New Roman" w:cs="Times New Roman"/>
                <w:sz w:val="22"/>
              </w:rPr>
              <w:t>dents in</w:t>
            </w:r>
            <w:r w:rsidR="002E0D33">
              <w:rPr>
                <w:rFonts w:ascii="Times New Roman" w:hAnsi="Times New Roman" w:cs="Times New Roman"/>
                <w:sz w:val="22"/>
              </w:rPr>
              <w:t xml:space="preserve"> the Dual Enrollment P</w:t>
            </w:r>
            <w:r w:rsidR="008C52EE" w:rsidRPr="00706AFD">
              <w:rPr>
                <w:rFonts w:ascii="Times New Roman" w:hAnsi="Times New Roman" w:cs="Times New Roman"/>
                <w:sz w:val="22"/>
              </w:rPr>
              <w:t>rogram</w:t>
            </w:r>
            <w:r w:rsidR="00007E3E">
              <w:rPr>
                <w:rFonts w:ascii="Times New Roman" w:hAnsi="Times New Roman" w:cs="Times New Roman"/>
                <w:sz w:val="22"/>
              </w:rPr>
              <w:t>,</w:t>
            </w:r>
            <w:r w:rsidR="002E0D33">
              <w:rPr>
                <w:rFonts w:ascii="Times New Roman" w:hAnsi="Times New Roman" w:cs="Times New Roman"/>
                <w:sz w:val="22"/>
              </w:rPr>
              <w:t xml:space="preserve"> but</w:t>
            </w:r>
            <w:r w:rsidR="00007E3E">
              <w:rPr>
                <w:rFonts w:ascii="Times New Roman" w:hAnsi="Times New Roman" w:cs="Times New Roman"/>
                <w:sz w:val="22"/>
              </w:rPr>
              <w:t xml:space="preserve"> </w:t>
            </w:r>
            <w:r w:rsidR="00F612FB">
              <w:rPr>
                <w:rFonts w:ascii="Times New Roman" w:hAnsi="Times New Roman" w:cs="Times New Roman"/>
                <w:sz w:val="22"/>
              </w:rPr>
              <w:t xml:space="preserve">they </w:t>
            </w:r>
            <w:r w:rsidR="002E0D33">
              <w:rPr>
                <w:rFonts w:ascii="Times New Roman" w:hAnsi="Times New Roman" w:cs="Times New Roman"/>
                <w:sz w:val="22"/>
              </w:rPr>
              <w:t>also</w:t>
            </w:r>
            <w:r w:rsidR="006B1E7C">
              <w:rPr>
                <w:rFonts w:ascii="Times New Roman" w:hAnsi="Times New Roman" w:cs="Times New Roman"/>
                <w:sz w:val="22"/>
              </w:rPr>
              <w:t xml:space="preserve"> established </w:t>
            </w:r>
            <w:r w:rsidR="002E0D33">
              <w:rPr>
                <w:rFonts w:ascii="Times New Roman" w:hAnsi="Times New Roman" w:cs="Times New Roman"/>
                <w:sz w:val="22"/>
              </w:rPr>
              <w:t>peer-to-peer network</w:t>
            </w:r>
            <w:r w:rsidR="006B1E7C">
              <w:rPr>
                <w:rFonts w:ascii="Times New Roman" w:hAnsi="Times New Roman" w:cs="Times New Roman"/>
                <w:sz w:val="22"/>
              </w:rPr>
              <w:t>ing</w:t>
            </w:r>
            <w:r w:rsidR="002E0D33">
              <w:rPr>
                <w:rFonts w:ascii="Times New Roman" w:hAnsi="Times New Roman" w:cs="Times New Roman"/>
                <w:sz w:val="22"/>
              </w:rPr>
              <w:t xml:space="preserve"> </w:t>
            </w:r>
            <w:r w:rsidR="006B1E7C">
              <w:rPr>
                <w:rFonts w:ascii="Times New Roman" w:hAnsi="Times New Roman" w:cs="Times New Roman"/>
                <w:sz w:val="22"/>
              </w:rPr>
              <w:t xml:space="preserve">and support structures </w:t>
            </w:r>
            <w:r w:rsidR="002E0D33">
              <w:rPr>
                <w:rFonts w:ascii="Times New Roman" w:hAnsi="Times New Roman" w:cs="Times New Roman"/>
                <w:sz w:val="22"/>
              </w:rPr>
              <w:t>between</w:t>
            </w:r>
            <w:r w:rsidR="008C52EE" w:rsidRPr="00706AFD">
              <w:rPr>
                <w:rFonts w:ascii="Times New Roman" w:hAnsi="Times New Roman" w:cs="Times New Roman"/>
                <w:sz w:val="22"/>
              </w:rPr>
              <w:t xml:space="preserve"> student</w:t>
            </w:r>
            <w:r w:rsidR="002E0D33">
              <w:rPr>
                <w:rFonts w:ascii="Times New Roman" w:hAnsi="Times New Roman" w:cs="Times New Roman"/>
                <w:sz w:val="22"/>
              </w:rPr>
              <w:t>s in the program.  In addition, the Dual Enrollment Coordinator expanded parental activities and engagement, including mapping</w:t>
            </w:r>
            <w:r w:rsidR="006B1E7C">
              <w:rPr>
                <w:rFonts w:ascii="Times New Roman" w:hAnsi="Times New Roman" w:cs="Times New Roman"/>
                <w:sz w:val="22"/>
              </w:rPr>
              <w:t xml:space="preserve"> strategies</w:t>
            </w:r>
            <w:r w:rsidR="002E0D33">
              <w:rPr>
                <w:rFonts w:ascii="Times New Roman" w:hAnsi="Times New Roman" w:cs="Times New Roman"/>
                <w:sz w:val="22"/>
              </w:rPr>
              <w:t xml:space="preserve"> for their children to continue with AMSC to obtain the</w:t>
            </w:r>
            <w:r w:rsidR="008C52EE" w:rsidRPr="00706AFD">
              <w:rPr>
                <w:rFonts w:ascii="Times New Roman" w:hAnsi="Times New Roman" w:cs="Times New Roman"/>
                <w:sz w:val="22"/>
              </w:rPr>
              <w:t xml:space="preserve"> bachelor degree upon high scho</w:t>
            </w:r>
            <w:r w:rsidR="006B1E7C">
              <w:rPr>
                <w:rFonts w:ascii="Times New Roman" w:hAnsi="Times New Roman" w:cs="Times New Roman"/>
                <w:sz w:val="22"/>
              </w:rPr>
              <w:t xml:space="preserve">ol graduation. </w:t>
            </w:r>
          </w:p>
        </w:tc>
      </w:tr>
    </w:tbl>
    <w:p w14:paraId="413C5584" w14:textId="77777777" w:rsidR="000C2472" w:rsidRDefault="000C2472" w:rsidP="00B974D0">
      <w:pPr>
        <w:shd w:val="clear" w:color="auto" w:fill="FFFFFF" w:themeFill="background1"/>
        <w:spacing w:before="240"/>
        <w:rPr>
          <w:rFonts w:ascii="Times New Roman" w:hAnsi="Times New Roman" w:cs="Times New Roman"/>
          <w:b/>
          <w:sz w:val="28"/>
          <w:szCs w:val="28"/>
        </w:rPr>
      </w:pPr>
    </w:p>
    <w:tbl>
      <w:tblPr>
        <w:tblStyle w:val="TableGrid1"/>
        <w:tblW w:w="11520" w:type="dxa"/>
        <w:tblInd w:w="-995" w:type="dxa"/>
        <w:tblLayout w:type="fixed"/>
        <w:tblLook w:val="04A0" w:firstRow="1" w:lastRow="0" w:firstColumn="1" w:lastColumn="0" w:noHBand="0" w:noVBand="1"/>
      </w:tblPr>
      <w:tblGrid>
        <w:gridCol w:w="540"/>
        <w:gridCol w:w="1440"/>
        <w:gridCol w:w="9540"/>
      </w:tblGrid>
      <w:tr w:rsidR="001300FC" w:rsidRPr="00706AFD" w14:paraId="2855D406" w14:textId="77777777" w:rsidTr="00B87766">
        <w:tc>
          <w:tcPr>
            <w:tcW w:w="1980" w:type="dxa"/>
            <w:gridSpan w:val="2"/>
          </w:tcPr>
          <w:p w14:paraId="759B7FB9" w14:textId="5E6B9C68" w:rsidR="001300FC" w:rsidRPr="00706AFD" w:rsidRDefault="002B3901" w:rsidP="007B7010">
            <w:pPr>
              <w:rPr>
                <w:rFonts w:ascii="Times New Roman" w:hAnsi="Times New Roman" w:cs="Times New Roman"/>
                <w:b/>
                <w:sz w:val="22"/>
              </w:rPr>
            </w:pPr>
            <w:r>
              <w:rPr>
                <w:rFonts w:ascii="Times New Roman" w:hAnsi="Times New Roman" w:cs="Times New Roman"/>
                <w:b/>
                <w:sz w:val="22"/>
              </w:rPr>
              <w:t>High-impact S</w:t>
            </w:r>
            <w:r w:rsidR="001300FC" w:rsidRPr="00706AFD">
              <w:rPr>
                <w:rFonts w:ascii="Times New Roman" w:hAnsi="Times New Roman" w:cs="Times New Roman"/>
                <w:b/>
                <w:sz w:val="22"/>
              </w:rPr>
              <w:t>trategy</w:t>
            </w:r>
            <w:r>
              <w:rPr>
                <w:rFonts w:ascii="Times New Roman" w:hAnsi="Times New Roman" w:cs="Times New Roman"/>
                <w:b/>
                <w:sz w:val="22"/>
              </w:rPr>
              <w:t xml:space="preserve"> #4</w:t>
            </w:r>
          </w:p>
        </w:tc>
        <w:tc>
          <w:tcPr>
            <w:tcW w:w="9540" w:type="dxa"/>
          </w:tcPr>
          <w:p w14:paraId="66C4D615" w14:textId="1B8BC5A4" w:rsidR="001300FC" w:rsidRPr="00706AFD" w:rsidRDefault="00572138" w:rsidP="001300FC">
            <w:pPr>
              <w:rPr>
                <w:rFonts w:ascii="Times New Roman" w:hAnsi="Times New Roman" w:cs="Times New Roman"/>
                <w:sz w:val="22"/>
              </w:rPr>
            </w:pPr>
            <w:r w:rsidRPr="00572138">
              <w:rPr>
                <w:rFonts w:ascii="Times New Roman" w:hAnsi="Times New Roman" w:cs="Times New Roman"/>
                <w:b/>
                <w:sz w:val="22"/>
                <w:u w:val="single"/>
              </w:rPr>
              <w:t>Strategy 4.0</w:t>
            </w:r>
            <w:r w:rsidR="001300FC" w:rsidRPr="00572138">
              <w:rPr>
                <w:rFonts w:ascii="Times New Roman" w:hAnsi="Times New Roman" w:cs="Times New Roman"/>
                <w:b/>
                <w:sz w:val="22"/>
                <w:u w:val="single"/>
              </w:rPr>
              <w:t>:</w:t>
            </w:r>
            <w:r w:rsidR="001300FC" w:rsidRPr="00706AFD">
              <w:rPr>
                <w:rFonts w:ascii="Times New Roman" w:hAnsi="Times New Roman" w:cs="Times New Roman"/>
                <w:sz w:val="22"/>
              </w:rPr>
              <w:t xml:space="preserve"> </w:t>
            </w:r>
            <w:r w:rsidR="003D3B34">
              <w:rPr>
                <w:rFonts w:ascii="Times New Roman" w:hAnsi="Times New Roman" w:cs="Times New Roman"/>
                <w:sz w:val="22"/>
              </w:rPr>
              <w:t>Early assimilation of Learning Support students into Gateway Math and English Courses</w:t>
            </w:r>
          </w:p>
        </w:tc>
      </w:tr>
      <w:tr w:rsidR="001300FC" w:rsidRPr="00706AFD" w14:paraId="03B23F7B" w14:textId="77777777" w:rsidTr="00B87766">
        <w:tc>
          <w:tcPr>
            <w:tcW w:w="1980" w:type="dxa"/>
            <w:gridSpan w:val="2"/>
          </w:tcPr>
          <w:p w14:paraId="7FB3AF56" w14:textId="6E43B4B4" w:rsidR="001300FC" w:rsidRPr="00706AFD" w:rsidRDefault="001300FC" w:rsidP="007B7010">
            <w:pPr>
              <w:rPr>
                <w:rFonts w:ascii="Times New Roman" w:hAnsi="Times New Roman" w:cs="Times New Roman"/>
                <w:b/>
                <w:sz w:val="22"/>
              </w:rPr>
            </w:pPr>
            <w:r w:rsidRPr="00706AFD">
              <w:rPr>
                <w:rFonts w:ascii="Times New Roman" w:hAnsi="Times New Roman" w:cs="Times New Roman"/>
                <w:b/>
                <w:sz w:val="22"/>
              </w:rPr>
              <w:t xml:space="preserve">Related Goal </w:t>
            </w:r>
            <w:r w:rsidR="00FD694E">
              <w:rPr>
                <w:rFonts w:ascii="Times New Roman" w:hAnsi="Times New Roman" w:cs="Times New Roman"/>
                <w:b/>
                <w:sz w:val="22"/>
              </w:rPr>
              <w:t>4</w:t>
            </w:r>
          </w:p>
        </w:tc>
        <w:tc>
          <w:tcPr>
            <w:tcW w:w="9540" w:type="dxa"/>
          </w:tcPr>
          <w:p w14:paraId="4681FC20" w14:textId="15C138BC" w:rsidR="001300FC" w:rsidRPr="00706AFD" w:rsidRDefault="000D50AC" w:rsidP="0006615A">
            <w:pPr>
              <w:rPr>
                <w:rFonts w:ascii="Times New Roman" w:hAnsi="Times New Roman" w:cs="Times New Roman"/>
                <w:sz w:val="22"/>
              </w:rPr>
            </w:pPr>
            <w:r>
              <w:rPr>
                <w:rFonts w:ascii="Times New Roman" w:hAnsi="Times New Roman" w:cs="Times New Roman"/>
                <w:sz w:val="22"/>
              </w:rPr>
              <w:t>Goal 4</w:t>
            </w:r>
            <w:r w:rsidR="001300FC" w:rsidRPr="00706AFD">
              <w:rPr>
                <w:rFonts w:ascii="Times New Roman" w:hAnsi="Times New Roman" w:cs="Times New Roman"/>
                <w:sz w:val="22"/>
              </w:rPr>
              <w:t xml:space="preserve">: </w:t>
            </w:r>
            <w:r w:rsidR="006F43EB">
              <w:rPr>
                <w:rFonts w:ascii="Times New Roman" w:hAnsi="Times New Roman" w:cs="Times New Roman"/>
                <w:sz w:val="22"/>
              </w:rPr>
              <w:t>Increase</w:t>
            </w:r>
            <w:r w:rsidR="009B371F">
              <w:rPr>
                <w:rFonts w:ascii="Times New Roman" w:hAnsi="Times New Roman" w:cs="Times New Roman"/>
                <w:sz w:val="22"/>
              </w:rPr>
              <w:t xml:space="preserve"> the likelihood of degree completion by transforming the way that remediation is accomplished</w:t>
            </w:r>
          </w:p>
        </w:tc>
      </w:tr>
      <w:tr w:rsidR="001300FC" w:rsidRPr="00706AFD" w14:paraId="4092E3DA" w14:textId="77777777" w:rsidTr="00B87766">
        <w:tc>
          <w:tcPr>
            <w:tcW w:w="1980" w:type="dxa"/>
            <w:gridSpan w:val="2"/>
          </w:tcPr>
          <w:p w14:paraId="6839FBB7" w14:textId="77777777" w:rsidR="001300FC" w:rsidRPr="00706AFD" w:rsidRDefault="001300FC" w:rsidP="007B7010">
            <w:pPr>
              <w:rPr>
                <w:rFonts w:ascii="Times New Roman" w:hAnsi="Times New Roman" w:cs="Times New Roman"/>
                <w:b/>
                <w:sz w:val="22"/>
              </w:rPr>
            </w:pPr>
            <w:r w:rsidRPr="00706AFD">
              <w:rPr>
                <w:rFonts w:ascii="Times New Roman" w:hAnsi="Times New Roman" w:cs="Times New Roman"/>
                <w:b/>
                <w:sz w:val="22"/>
              </w:rPr>
              <w:t>Demonstration of Priority and/or Impact</w:t>
            </w:r>
          </w:p>
        </w:tc>
        <w:tc>
          <w:tcPr>
            <w:tcW w:w="9540" w:type="dxa"/>
          </w:tcPr>
          <w:p w14:paraId="6120C0D7" w14:textId="1F35EEAA" w:rsidR="0006615A" w:rsidRPr="00706AFD" w:rsidRDefault="00B142C2" w:rsidP="003C6781">
            <w:pPr>
              <w:contextualSpacing/>
              <w:jc w:val="both"/>
              <w:rPr>
                <w:rFonts w:ascii="Times New Roman" w:hAnsi="Times New Roman" w:cs="Times New Roman"/>
                <w:iCs/>
                <w:sz w:val="22"/>
                <w:szCs w:val="22"/>
              </w:rPr>
            </w:pPr>
            <w:r>
              <w:rPr>
                <w:rFonts w:ascii="Times New Roman" w:hAnsi="Times New Roman" w:cs="Times New Roman"/>
                <w:iCs/>
                <w:sz w:val="22"/>
                <w:szCs w:val="22"/>
              </w:rPr>
              <w:t>T</w:t>
            </w:r>
            <w:r w:rsidR="00825895">
              <w:rPr>
                <w:rFonts w:ascii="Times New Roman" w:hAnsi="Times New Roman" w:cs="Times New Roman"/>
                <w:iCs/>
                <w:sz w:val="22"/>
                <w:szCs w:val="22"/>
              </w:rPr>
              <w:t>wenty</w:t>
            </w:r>
            <w:r w:rsidR="00FD694E">
              <w:rPr>
                <w:rFonts w:ascii="Times New Roman" w:hAnsi="Times New Roman" w:cs="Times New Roman"/>
                <w:iCs/>
                <w:sz w:val="22"/>
                <w:szCs w:val="22"/>
              </w:rPr>
              <w:t xml:space="preserve"> five</w:t>
            </w:r>
            <w:r w:rsidR="00825895">
              <w:rPr>
                <w:rFonts w:ascii="Times New Roman" w:hAnsi="Times New Roman" w:cs="Times New Roman"/>
                <w:iCs/>
                <w:sz w:val="22"/>
                <w:szCs w:val="22"/>
              </w:rPr>
              <w:t xml:space="preserve"> percent</w:t>
            </w:r>
            <w:r w:rsidR="00FD694E">
              <w:rPr>
                <w:rFonts w:ascii="Times New Roman" w:hAnsi="Times New Roman" w:cs="Times New Roman"/>
                <w:iCs/>
                <w:sz w:val="22"/>
                <w:szCs w:val="22"/>
              </w:rPr>
              <w:t xml:space="preserve"> (25%) of</w:t>
            </w:r>
            <w:r w:rsidR="00825895">
              <w:rPr>
                <w:rFonts w:ascii="Times New Roman" w:hAnsi="Times New Roman" w:cs="Times New Roman"/>
                <w:iCs/>
                <w:sz w:val="22"/>
                <w:szCs w:val="22"/>
              </w:rPr>
              <w:t xml:space="preserve"> </w:t>
            </w:r>
            <w:r w:rsidR="00FD694E">
              <w:rPr>
                <w:rFonts w:ascii="Times New Roman" w:hAnsi="Times New Roman" w:cs="Times New Roman"/>
                <w:iCs/>
                <w:sz w:val="22"/>
                <w:szCs w:val="22"/>
              </w:rPr>
              <w:t>AMSC students</w:t>
            </w:r>
            <w:r w:rsidR="00825895">
              <w:rPr>
                <w:rFonts w:ascii="Times New Roman" w:hAnsi="Times New Roman" w:cs="Times New Roman"/>
                <w:iCs/>
                <w:sz w:val="22"/>
                <w:szCs w:val="22"/>
              </w:rPr>
              <w:t>,</w:t>
            </w:r>
            <w:r w:rsidR="00FD694E">
              <w:rPr>
                <w:rFonts w:ascii="Times New Roman" w:hAnsi="Times New Roman" w:cs="Times New Roman"/>
                <w:iCs/>
                <w:sz w:val="22"/>
                <w:szCs w:val="22"/>
              </w:rPr>
              <w:t xml:space="preserve"> each semester,</w:t>
            </w:r>
            <w:r w:rsidR="004478E9">
              <w:rPr>
                <w:rFonts w:ascii="Times New Roman" w:hAnsi="Times New Roman" w:cs="Times New Roman"/>
                <w:iCs/>
                <w:sz w:val="22"/>
                <w:szCs w:val="22"/>
              </w:rPr>
              <w:t xml:space="preserve"> are enrolled in a</w:t>
            </w:r>
            <w:r w:rsidR="00FD694E">
              <w:rPr>
                <w:rFonts w:ascii="Times New Roman" w:hAnsi="Times New Roman" w:cs="Times New Roman"/>
                <w:iCs/>
                <w:sz w:val="22"/>
                <w:szCs w:val="22"/>
              </w:rPr>
              <w:t>t least one</w:t>
            </w:r>
            <w:r>
              <w:rPr>
                <w:rFonts w:ascii="Times New Roman" w:hAnsi="Times New Roman" w:cs="Times New Roman"/>
                <w:iCs/>
                <w:sz w:val="22"/>
                <w:szCs w:val="22"/>
              </w:rPr>
              <w:t xml:space="preserve"> learning support (LS) class</w:t>
            </w:r>
            <w:r w:rsidR="00DC32D3">
              <w:rPr>
                <w:rFonts w:ascii="Times New Roman" w:hAnsi="Times New Roman" w:cs="Times New Roman"/>
                <w:iCs/>
                <w:sz w:val="22"/>
                <w:szCs w:val="22"/>
              </w:rPr>
              <w:t>, thus any improve</w:t>
            </w:r>
            <w:r w:rsidR="00825895">
              <w:rPr>
                <w:rFonts w:ascii="Times New Roman" w:hAnsi="Times New Roman" w:cs="Times New Roman"/>
                <w:iCs/>
                <w:sz w:val="22"/>
                <w:szCs w:val="22"/>
              </w:rPr>
              <w:t>ment</w:t>
            </w:r>
            <w:r w:rsidR="00DC32D3">
              <w:rPr>
                <w:rFonts w:ascii="Times New Roman" w:hAnsi="Times New Roman" w:cs="Times New Roman"/>
                <w:iCs/>
                <w:sz w:val="22"/>
                <w:szCs w:val="22"/>
              </w:rPr>
              <w:t xml:space="preserve"> </w:t>
            </w:r>
            <w:r w:rsidR="00825895">
              <w:rPr>
                <w:rFonts w:ascii="Times New Roman" w:hAnsi="Times New Roman" w:cs="Times New Roman"/>
                <w:iCs/>
                <w:sz w:val="22"/>
                <w:szCs w:val="22"/>
              </w:rPr>
              <w:t xml:space="preserve">to reduce the number of </w:t>
            </w:r>
            <w:r>
              <w:rPr>
                <w:rFonts w:ascii="Times New Roman" w:hAnsi="Times New Roman" w:cs="Times New Roman"/>
                <w:iCs/>
                <w:sz w:val="22"/>
                <w:szCs w:val="22"/>
              </w:rPr>
              <w:t xml:space="preserve">LS </w:t>
            </w:r>
            <w:r w:rsidR="00825895">
              <w:rPr>
                <w:rFonts w:ascii="Times New Roman" w:hAnsi="Times New Roman" w:cs="Times New Roman"/>
                <w:iCs/>
                <w:sz w:val="22"/>
                <w:szCs w:val="22"/>
              </w:rPr>
              <w:t>students or reduce</w:t>
            </w:r>
            <w:r>
              <w:rPr>
                <w:rFonts w:ascii="Times New Roman" w:hAnsi="Times New Roman" w:cs="Times New Roman"/>
                <w:iCs/>
                <w:sz w:val="22"/>
                <w:szCs w:val="22"/>
              </w:rPr>
              <w:t xml:space="preserve"> their</w:t>
            </w:r>
            <w:r w:rsidR="00825895">
              <w:rPr>
                <w:rFonts w:ascii="Times New Roman" w:hAnsi="Times New Roman" w:cs="Times New Roman"/>
                <w:iCs/>
                <w:sz w:val="22"/>
                <w:szCs w:val="22"/>
              </w:rPr>
              <w:t xml:space="preserve"> time in learning support </w:t>
            </w:r>
            <w:r w:rsidR="00FD694E">
              <w:rPr>
                <w:rFonts w:ascii="Times New Roman" w:hAnsi="Times New Roman" w:cs="Times New Roman"/>
                <w:iCs/>
                <w:sz w:val="22"/>
                <w:szCs w:val="22"/>
              </w:rPr>
              <w:t xml:space="preserve">classes </w:t>
            </w:r>
            <w:r w:rsidR="00B525F6">
              <w:rPr>
                <w:rFonts w:ascii="Times New Roman" w:hAnsi="Times New Roman" w:cs="Times New Roman"/>
                <w:iCs/>
                <w:sz w:val="22"/>
                <w:szCs w:val="22"/>
              </w:rPr>
              <w:t>is an institutional priority</w:t>
            </w:r>
            <w:r w:rsidR="00286ACE">
              <w:rPr>
                <w:rFonts w:ascii="Times New Roman" w:hAnsi="Times New Roman" w:cs="Times New Roman"/>
                <w:iCs/>
                <w:sz w:val="22"/>
                <w:szCs w:val="22"/>
              </w:rPr>
              <w:t xml:space="preserve"> that</w:t>
            </w:r>
            <w:r>
              <w:rPr>
                <w:rFonts w:ascii="Times New Roman" w:hAnsi="Times New Roman" w:cs="Times New Roman"/>
                <w:iCs/>
                <w:sz w:val="22"/>
                <w:szCs w:val="22"/>
              </w:rPr>
              <w:t xml:space="preserve"> will</w:t>
            </w:r>
            <w:r w:rsidR="00B86817">
              <w:rPr>
                <w:rFonts w:ascii="Times New Roman" w:hAnsi="Times New Roman" w:cs="Times New Roman"/>
                <w:iCs/>
                <w:sz w:val="22"/>
                <w:szCs w:val="22"/>
              </w:rPr>
              <w:t xml:space="preserve"> result in a significantly</w:t>
            </w:r>
            <w:r w:rsidR="004478E9">
              <w:rPr>
                <w:rFonts w:ascii="Times New Roman" w:hAnsi="Times New Roman" w:cs="Times New Roman"/>
                <w:iCs/>
                <w:sz w:val="22"/>
                <w:szCs w:val="22"/>
              </w:rPr>
              <w:t xml:space="preserve"> </w:t>
            </w:r>
            <w:r w:rsidR="00B525F6">
              <w:rPr>
                <w:rFonts w:ascii="Times New Roman" w:hAnsi="Times New Roman" w:cs="Times New Roman"/>
                <w:iCs/>
                <w:sz w:val="22"/>
                <w:szCs w:val="22"/>
              </w:rPr>
              <w:t>positive impact</w:t>
            </w:r>
            <w:r>
              <w:rPr>
                <w:rFonts w:ascii="Times New Roman" w:hAnsi="Times New Roman" w:cs="Times New Roman"/>
                <w:iCs/>
                <w:sz w:val="22"/>
                <w:szCs w:val="22"/>
              </w:rPr>
              <w:t xml:space="preserve"> </w:t>
            </w:r>
            <w:r w:rsidR="00286ACE">
              <w:rPr>
                <w:rFonts w:ascii="Times New Roman" w:hAnsi="Times New Roman" w:cs="Times New Roman"/>
                <w:iCs/>
                <w:sz w:val="22"/>
                <w:szCs w:val="22"/>
              </w:rPr>
              <w:t>on</w:t>
            </w:r>
            <w:r w:rsidR="00B525F6">
              <w:rPr>
                <w:rFonts w:ascii="Times New Roman" w:hAnsi="Times New Roman" w:cs="Times New Roman"/>
                <w:iCs/>
                <w:sz w:val="22"/>
                <w:szCs w:val="22"/>
              </w:rPr>
              <w:t xml:space="preserve"> student </w:t>
            </w:r>
            <w:r w:rsidR="00DC32D3">
              <w:rPr>
                <w:rFonts w:ascii="Times New Roman" w:hAnsi="Times New Roman" w:cs="Times New Roman"/>
                <w:iCs/>
                <w:sz w:val="22"/>
                <w:szCs w:val="22"/>
              </w:rPr>
              <w:t>retentio</w:t>
            </w:r>
            <w:r>
              <w:rPr>
                <w:rFonts w:ascii="Times New Roman" w:hAnsi="Times New Roman" w:cs="Times New Roman"/>
                <w:iCs/>
                <w:sz w:val="22"/>
                <w:szCs w:val="22"/>
              </w:rPr>
              <w:t xml:space="preserve">n and completion. </w:t>
            </w:r>
            <w:r w:rsidR="004478E9">
              <w:rPr>
                <w:rFonts w:ascii="Times New Roman" w:hAnsi="Times New Roman" w:cs="Times New Roman"/>
                <w:iCs/>
                <w:sz w:val="22"/>
                <w:szCs w:val="22"/>
              </w:rPr>
              <w:t>Early integration</w:t>
            </w:r>
            <w:r>
              <w:rPr>
                <w:rFonts w:ascii="Times New Roman" w:hAnsi="Times New Roman" w:cs="Times New Roman"/>
                <w:iCs/>
                <w:sz w:val="22"/>
                <w:szCs w:val="22"/>
              </w:rPr>
              <w:t xml:space="preserve"> </w:t>
            </w:r>
            <w:r w:rsidR="004478E9">
              <w:rPr>
                <w:rFonts w:ascii="Times New Roman" w:hAnsi="Times New Roman" w:cs="Times New Roman"/>
                <w:iCs/>
                <w:sz w:val="22"/>
                <w:szCs w:val="22"/>
              </w:rPr>
              <w:t xml:space="preserve">of </w:t>
            </w:r>
            <w:r>
              <w:rPr>
                <w:rFonts w:ascii="Times New Roman" w:hAnsi="Times New Roman" w:cs="Times New Roman"/>
                <w:iCs/>
                <w:sz w:val="22"/>
                <w:szCs w:val="22"/>
              </w:rPr>
              <w:t>LS stu</w:t>
            </w:r>
            <w:r w:rsidR="004478E9">
              <w:rPr>
                <w:rFonts w:ascii="Times New Roman" w:hAnsi="Times New Roman" w:cs="Times New Roman"/>
                <w:iCs/>
                <w:sz w:val="22"/>
                <w:szCs w:val="22"/>
              </w:rPr>
              <w:t xml:space="preserve">dents into gateway courses </w:t>
            </w:r>
            <w:r w:rsidR="00545A40">
              <w:rPr>
                <w:rFonts w:ascii="Times New Roman" w:hAnsi="Times New Roman" w:cs="Times New Roman"/>
                <w:iCs/>
                <w:sz w:val="22"/>
                <w:szCs w:val="22"/>
              </w:rPr>
              <w:t>builds their</w:t>
            </w:r>
            <w:r w:rsidR="004478E9">
              <w:rPr>
                <w:rFonts w:ascii="Times New Roman" w:hAnsi="Times New Roman" w:cs="Times New Roman"/>
                <w:iCs/>
                <w:sz w:val="22"/>
                <w:szCs w:val="22"/>
              </w:rPr>
              <w:t xml:space="preserve"> self-esteem, agency, </w:t>
            </w:r>
            <w:r>
              <w:rPr>
                <w:rFonts w:ascii="Times New Roman" w:hAnsi="Times New Roman" w:cs="Times New Roman"/>
                <w:iCs/>
                <w:sz w:val="22"/>
                <w:szCs w:val="22"/>
              </w:rPr>
              <w:t>self-determination</w:t>
            </w:r>
            <w:r w:rsidR="004478E9">
              <w:rPr>
                <w:rFonts w:ascii="Times New Roman" w:hAnsi="Times New Roman" w:cs="Times New Roman"/>
                <w:iCs/>
                <w:sz w:val="22"/>
                <w:szCs w:val="22"/>
              </w:rPr>
              <w:t>,</w:t>
            </w:r>
            <w:r w:rsidR="00545A40">
              <w:rPr>
                <w:rFonts w:ascii="Times New Roman" w:hAnsi="Times New Roman" w:cs="Times New Roman"/>
                <w:iCs/>
                <w:sz w:val="22"/>
                <w:szCs w:val="22"/>
              </w:rPr>
              <w:t xml:space="preserve"> and translates into higher retention rates, better grades, and ultimately higher </w:t>
            </w:r>
            <w:r w:rsidR="00FD694E">
              <w:rPr>
                <w:rFonts w:ascii="Times New Roman" w:hAnsi="Times New Roman" w:cs="Times New Roman"/>
                <w:iCs/>
                <w:sz w:val="22"/>
                <w:szCs w:val="22"/>
              </w:rPr>
              <w:t xml:space="preserve">completion and </w:t>
            </w:r>
            <w:r w:rsidR="00545A40">
              <w:rPr>
                <w:rFonts w:ascii="Times New Roman" w:hAnsi="Times New Roman" w:cs="Times New Roman"/>
                <w:iCs/>
                <w:sz w:val="22"/>
                <w:szCs w:val="22"/>
              </w:rPr>
              <w:t>graduation rates.</w:t>
            </w:r>
            <w:r w:rsidR="006F43EB">
              <w:rPr>
                <w:rFonts w:ascii="Times New Roman" w:hAnsi="Times New Roman" w:cs="Times New Roman"/>
                <w:iCs/>
                <w:sz w:val="22"/>
                <w:szCs w:val="22"/>
              </w:rPr>
              <w:t xml:space="preserve"> Despite their historical barriers, many learning support students persevere and attain associates and bachelor’s degrees. There are numerous examples, annually, of former AMSC learning support students who transfer to and subseq</w:t>
            </w:r>
            <w:r w:rsidR="00286ACE">
              <w:rPr>
                <w:rFonts w:ascii="Times New Roman" w:hAnsi="Times New Roman" w:cs="Times New Roman"/>
                <w:iCs/>
                <w:sz w:val="22"/>
                <w:szCs w:val="22"/>
              </w:rPr>
              <w:t>uently complete professional/</w:t>
            </w:r>
            <w:r w:rsidR="006F43EB">
              <w:rPr>
                <w:rFonts w:ascii="Times New Roman" w:hAnsi="Times New Roman" w:cs="Times New Roman"/>
                <w:iCs/>
                <w:sz w:val="22"/>
                <w:szCs w:val="22"/>
              </w:rPr>
              <w:t>research universit</w:t>
            </w:r>
            <w:r w:rsidR="00286ACE">
              <w:rPr>
                <w:rFonts w:ascii="Times New Roman" w:hAnsi="Times New Roman" w:cs="Times New Roman"/>
                <w:iCs/>
                <w:sz w:val="22"/>
                <w:szCs w:val="22"/>
              </w:rPr>
              <w:t>ies with distinction, and sustain</w:t>
            </w:r>
            <w:r w:rsidR="006F43EB">
              <w:rPr>
                <w:rFonts w:ascii="Times New Roman" w:hAnsi="Times New Roman" w:cs="Times New Roman"/>
                <w:iCs/>
                <w:sz w:val="22"/>
                <w:szCs w:val="22"/>
              </w:rPr>
              <w:t xml:space="preserve"> successful careers. </w:t>
            </w:r>
          </w:p>
        </w:tc>
      </w:tr>
      <w:tr w:rsidR="001300FC" w:rsidRPr="00706AFD" w14:paraId="0D9CA2F4" w14:textId="77777777" w:rsidTr="00B87766">
        <w:tc>
          <w:tcPr>
            <w:tcW w:w="1980" w:type="dxa"/>
            <w:gridSpan w:val="2"/>
          </w:tcPr>
          <w:p w14:paraId="5E3C03AD" w14:textId="77777777" w:rsidR="001300FC" w:rsidRPr="00706AFD" w:rsidRDefault="001300FC" w:rsidP="007B7010">
            <w:pPr>
              <w:rPr>
                <w:rFonts w:ascii="Times New Roman" w:hAnsi="Times New Roman" w:cs="Times New Roman"/>
                <w:b/>
                <w:sz w:val="22"/>
              </w:rPr>
            </w:pPr>
            <w:r w:rsidRPr="00706AFD">
              <w:rPr>
                <w:rFonts w:ascii="Times New Roman" w:hAnsi="Times New Roman" w:cs="Times New Roman"/>
                <w:b/>
                <w:sz w:val="22"/>
              </w:rPr>
              <w:t>Primary Point of Contact</w:t>
            </w:r>
          </w:p>
        </w:tc>
        <w:tc>
          <w:tcPr>
            <w:tcW w:w="9540" w:type="dxa"/>
          </w:tcPr>
          <w:p w14:paraId="02340184" w14:textId="4AC13623" w:rsidR="001300FC" w:rsidRDefault="00C45DCD" w:rsidP="00C45DCD">
            <w:pPr>
              <w:contextualSpacing/>
              <w:rPr>
                <w:rFonts w:ascii="Times New Roman" w:hAnsi="Times New Roman" w:cs="Times New Roman"/>
                <w:sz w:val="22"/>
              </w:rPr>
            </w:pPr>
            <w:r>
              <w:rPr>
                <w:rFonts w:ascii="Times New Roman" w:hAnsi="Times New Roman" w:cs="Times New Roman"/>
                <w:sz w:val="22"/>
              </w:rPr>
              <w:t xml:space="preserve">Name: </w:t>
            </w:r>
            <w:r w:rsidR="00463D86">
              <w:rPr>
                <w:rFonts w:ascii="Times New Roman" w:hAnsi="Times New Roman" w:cs="Times New Roman"/>
                <w:sz w:val="22"/>
              </w:rPr>
              <w:t xml:space="preserve">Dr. </w:t>
            </w:r>
            <w:r>
              <w:rPr>
                <w:rFonts w:ascii="Times New Roman" w:hAnsi="Times New Roman" w:cs="Times New Roman"/>
                <w:sz w:val="22"/>
              </w:rPr>
              <w:t>Curtis Bailey</w:t>
            </w:r>
          </w:p>
          <w:p w14:paraId="112A940D" w14:textId="77777777" w:rsidR="00C45DCD" w:rsidRDefault="00C45DCD" w:rsidP="00C45DCD">
            <w:pPr>
              <w:contextualSpacing/>
              <w:rPr>
                <w:rFonts w:ascii="Times New Roman" w:hAnsi="Times New Roman" w:cs="Times New Roman"/>
                <w:sz w:val="22"/>
              </w:rPr>
            </w:pPr>
            <w:r>
              <w:rPr>
                <w:rFonts w:ascii="Times New Roman" w:hAnsi="Times New Roman" w:cs="Times New Roman"/>
                <w:sz w:val="22"/>
              </w:rPr>
              <w:t>Title: Learning Support Coordinator</w:t>
            </w:r>
          </w:p>
          <w:p w14:paraId="4ABB46EC" w14:textId="71B45896" w:rsidR="00C45DCD" w:rsidRPr="00356F5C" w:rsidRDefault="00C45DCD" w:rsidP="00C45DCD">
            <w:pPr>
              <w:contextualSpacing/>
              <w:rPr>
                <w:rFonts w:ascii="Times New Roman" w:hAnsi="Times New Roman" w:cs="Times New Roman"/>
                <w:sz w:val="22"/>
              </w:rPr>
            </w:pPr>
            <w:r>
              <w:rPr>
                <w:rFonts w:ascii="Times New Roman" w:hAnsi="Times New Roman" w:cs="Times New Roman"/>
                <w:sz w:val="22"/>
              </w:rPr>
              <w:t>Contact: cbailey@atlm.edu</w:t>
            </w:r>
          </w:p>
        </w:tc>
      </w:tr>
      <w:tr w:rsidR="001300FC" w:rsidRPr="00706AFD" w14:paraId="69F6CD19" w14:textId="77777777" w:rsidTr="00B87766">
        <w:tc>
          <w:tcPr>
            <w:tcW w:w="1980" w:type="dxa"/>
            <w:gridSpan w:val="2"/>
          </w:tcPr>
          <w:p w14:paraId="4D242E9A" w14:textId="297E69FA" w:rsidR="001300FC" w:rsidRPr="00706AFD" w:rsidRDefault="001300FC" w:rsidP="007B7010">
            <w:pPr>
              <w:rPr>
                <w:rFonts w:ascii="Times New Roman" w:hAnsi="Times New Roman" w:cs="Times New Roman"/>
                <w:b/>
                <w:sz w:val="22"/>
              </w:rPr>
            </w:pPr>
            <w:r w:rsidRPr="00706AFD">
              <w:rPr>
                <w:rFonts w:ascii="Times New Roman" w:hAnsi="Times New Roman" w:cs="Times New Roman"/>
                <w:b/>
                <w:sz w:val="22"/>
              </w:rPr>
              <w:t>Summary of Activities</w:t>
            </w:r>
          </w:p>
        </w:tc>
        <w:tc>
          <w:tcPr>
            <w:tcW w:w="9540" w:type="dxa"/>
          </w:tcPr>
          <w:p w14:paraId="3ABFC509" w14:textId="2202E9D1" w:rsidR="00B97740" w:rsidRPr="00706AFD" w:rsidRDefault="000D50AC" w:rsidP="00B97740">
            <w:pPr>
              <w:contextualSpacing/>
              <w:jc w:val="both"/>
              <w:rPr>
                <w:rFonts w:ascii="Times New Roman" w:hAnsi="Times New Roman" w:cs="Times New Roman"/>
                <w:sz w:val="22"/>
              </w:rPr>
            </w:pPr>
            <w:r>
              <w:rPr>
                <w:rFonts w:ascii="Times New Roman" w:hAnsi="Times New Roman" w:cs="Times New Roman"/>
                <w:sz w:val="22"/>
              </w:rPr>
              <w:t>T</w:t>
            </w:r>
            <w:r w:rsidR="003473BB">
              <w:rPr>
                <w:rFonts w:ascii="Times New Roman" w:hAnsi="Times New Roman" w:cs="Times New Roman"/>
                <w:sz w:val="22"/>
              </w:rPr>
              <w:t xml:space="preserve">he number </w:t>
            </w:r>
            <w:r w:rsidR="001426E9">
              <w:rPr>
                <w:rFonts w:ascii="Times New Roman" w:hAnsi="Times New Roman" w:cs="Times New Roman"/>
                <w:sz w:val="22"/>
              </w:rPr>
              <w:t xml:space="preserve">of </w:t>
            </w:r>
            <w:r w:rsidR="006E6134">
              <w:rPr>
                <w:rFonts w:ascii="Times New Roman" w:hAnsi="Times New Roman" w:cs="Times New Roman"/>
                <w:sz w:val="22"/>
              </w:rPr>
              <w:t>“</w:t>
            </w:r>
            <w:r w:rsidR="001426E9">
              <w:rPr>
                <w:rFonts w:ascii="Times New Roman" w:hAnsi="Times New Roman" w:cs="Times New Roman"/>
                <w:sz w:val="22"/>
              </w:rPr>
              <w:t>c</w:t>
            </w:r>
            <w:r w:rsidR="00836FBD">
              <w:rPr>
                <w:rFonts w:ascii="Times New Roman" w:hAnsi="Times New Roman" w:cs="Times New Roman"/>
                <w:sz w:val="22"/>
              </w:rPr>
              <w:t>o</w:t>
            </w:r>
            <w:r w:rsidR="003C6781">
              <w:rPr>
                <w:rFonts w:ascii="Times New Roman" w:hAnsi="Times New Roman" w:cs="Times New Roman"/>
                <w:sz w:val="22"/>
              </w:rPr>
              <w:t>-</w:t>
            </w:r>
            <w:r w:rsidR="001426E9">
              <w:rPr>
                <w:rFonts w:ascii="Times New Roman" w:hAnsi="Times New Roman" w:cs="Times New Roman"/>
                <w:sz w:val="22"/>
              </w:rPr>
              <w:t>requisite</w:t>
            </w:r>
            <w:r w:rsidR="00D545E1">
              <w:rPr>
                <w:rFonts w:ascii="Times New Roman" w:hAnsi="Times New Roman" w:cs="Times New Roman"/>
                <w:sz w:val="22"/>
              </w:rPr>
              <w:t xml:space="preserve"> or co-req</w:t>
            </w:r>
            <w:r w:rsidR="006E6134">
              <w:rPr>
                <w:rFonts w:ascii="Times New Roman" w:hAnsi="Times New Roman" w:cs="Times New Roman"/>
                <w:sz w:val="22"/>
              </w:rPr>
              <w:t>”</w:t>
            </w:r>
            <w:r w:rsidR="001426E9">
              <w:rPr>
                <w:rFonts w:ascii="Times New Roman" w:hAnsi="Times New Roman" w:cs="Times New Roman"/>
                <w:sz w:val="22"/>
              </w:rPr>
              <w:t xml:space="preserve"> g</w:t>
            </w:r>
            <w:r w:rsidR="00836FBD">
              <w:rPr>
                <w:rFonts w:ascii="Times New Roman" w:hAnsi="Times New Roman" w:cs="Times New Roman"/>
                <w:sz w:val="22"/>
              </w:rPr>
              <w:t>ateway courses were increase</w:t>
            </w:r>
            <w:r w:rsidR="003C6781">
              <w:rPr>
                <w:rFonts w:ascii="Times New Roman" w:hAnsi="Times New Roman" w:cs="Times New Roman"/>
                <w:sz w:val="22"/>
              </w:rPr>
              <w:t>d</w:t>
            </w:r>
            <w:r w:rsidR="00836FBD">
              <w:rPr>
                <w:rFonts w:ascii="Times New Roman" w:hAnsi="Times New Roman" w:cs="Times New Roman"/>
                <w:sz w:val="22"/>
              </w:rPr>
              <w:t xml:space="preserve"> sign</w:t>
            </w:r>
            <w:r>
              <w:rPr>
                <w:rFonts w:ascii="Times New Roman" w:hAnsi="Times New Roman" w:cs="Times New Roman"/>
                <w:sz w:val="22"/>
              </w:rPr>
              <w:t>ificantly</w:t>
            </w:r>
            <w:r w:rsidR="00286ACE">
              <w:rPr>
                <w:rFonts w:ascii="Times New Roman" w:hAnsi="Times New Roman" w:cs="Times New Roman"/>
                <w:sz w:val="22"/>
              </w:rPr>
              <w:t xml:space="preserve"> to 12</w:t>
            </w:r>
            <w:r w:rsidR="001426E9">
              <w:rPr>
                <w:rFonts w:ascii="Times New Roman" w:hAnsi="Times New Roman" w:cs="Times New Roman"/>
                <w:sz w:val="22"/>
              </w:rPr>
              <w:t xml:space="preserve">, moving approximately 40% of learning support students </w:t>
            </w:r>
            <w:r w:rsidR="00545A40">
              <w:rPr>
                <w:rFonts w:ascii="Times New Roman" w:hAnsi="Times New Roman" w:cs="Times New Roman"/>
                <w:sz w:val="22"/>
              </w:rPr>
              <w:t xml:space="preserve">from </w:t>
            </w:r>
            <w:r w:rsidR="006E6134">
              <w:rPr>
                <w:rFonts w:ascii="Times New Roman" w:hAnsi="Times New Roman" w:cs="Times New Roman"/>
                <w:sz w:val="22"/>
              </w:rPr>
              <w:t xml:space="preserve">lower level </w:t>
            </w:r>
            <w:r w:rsidR="00545A40">
              <w:rPr>
                <w:rFonts w:ascii="Times New Roman" w:hAnsi="Times New Roman" w:cs="Times New Roman"/>
                <w:sz w:val="22"/>
              </w:rPr>
              <w:t xml:space="preserve">foundation learning support courses </w:t>
            </w:r>
            <w:r w:rsidR="001426E9">
              <w:rPr>
                <w:rFonts w:ascii="Times New Roman" w:hAnsi="Times New Roman" w:cs="Times New Roman"/>
                <w:sz w:val="22"/>
              </w:rPr>
              <w:t>to gateway</w:t>
            </w:r>
            <w:r w:rsidR="006F43EB">
              <w:rPr>
                <w:rFonts w:ascii="Times New Roman" w:hAnsi="Times New Roman" w:cs="Times New Roman"/>
                <w:sz w:val="22"/>
              </w:rPr>
              <w:t xml:space="preserve"> math and English courses, with a</w:t>
            </w:r>
            <w:r w:rsidR="001426E9">
              <w:rPr>
                <w:rFonts w:ascii="Times New Roman" w:hAnsi="Times New Roman" w:cs="Times New Roman"/>
                <w:sz w:val="22"/>
              </w:rPr>
              <w:t xml:space="preserve"> co-requisite</w:t>
            </w:r>
            <w:r w:rsidR="006F43EB">
              <w:rPr>
                <w:rFonts w:ascii="Times New Roman" w:hAnsi="Times New Roman" w:cs="Times New Roman"/>
                <w:sz w:val="22"/>
              </w:rPr>
              <w:t xml:space="preserve"> learning support lab requirement</w:t>
            </w:r>
            <w:r w:rsidR="001426E9">
              <w:rPr>
                <w:rFonts w:ascii="Times New Roman" w:hAnsi="Times New Roman" w:cs="Times New Roman"/>
                <w:sz w:val="22"/>
              </w:rPr>
              <w:t>.</w:t>
            </w:r>
            <w:r w:rsidR="00836FBD">
              <w:rPr>
                <w:rFonts w:ascii="Times New Roman" w:hAnsi="Times New Roman" w:cs="Times New Roman"/>
                <w:sz w:val="22"/>
              </w:rPr>
              <w:t xml:space="preserve"> </w:t>
            </w:r>
            <w:r w:rsidR="006E6134">
              <w:rPr>
                <w:rFonts w:ascii="Times New Roman" w:hAnsi="Times New Roman" w:cs="Times New Roman"/>
                <w:sz w:val="22"/>
              </w:rPr>
              <w:t>Placement of learning support students is determined by</w:t>
            </w:r>
            <w:r w:rsidR="00C45DCD">
              <w:rPr>
                <w:rFonts w:ascii="Times New Roman" w:hAnsi="Times New Roman" w:cs="Times New Roman"/>
                <w:sz w:val="22"/>
              </w:rPr>
              <w:t xml:space="preserve"> MPI</w:t>
            </w:r>
            <w:r w:rsidR="006E6134">
              <w:rPr>
                <w:rFonts w:ascii="Times New Roman" w:hAnsi="Times New Roman" w:cs="Times New Roman"/>
                <w:sz w:val="22"/>
              </w:rPr>
              <w:t xml:space="preserve"> and EPI scores, which are calculated for high school students</w:t>
            </w:r>
            <w:r w:rsidR="00C45DCD">
              <w:rPr>
                <w:rFonts w:ascii="Times New Roman" w:hAnsi="Times New Roman" w:cs="Times New Roman"/>
                <w:sz w:val="22"/>
              </w:rPr>
              <w:t xml:space="preserve"> </w:t>
            </w:r>
            <w:r w:rsidR="006E6134">
              <w:rPr>
                <w:rFonts w:ascii="Times New Roman" w:hAnsi="Times New Roman" w:cs="Times New Roman"/>
                <w:sz w:val="22"/>
              </w:rPr>
              <w:t xml:space="preserve">by </w:t>
            </w:r>
            <w:r w:rsidR="00C45DCD">
              <w:rPr>
                <w:rFonts w:ascii="Times New Roman" w:hAnsi="Times New Roman" w:cs="Times New Roman"/>
                <w:sz w:val="22"/>
              </w:rPr>
              <w:t>combining</w:t>
            </w:r>
            <w:r w:rsidR="006E6134">
              <w:rPr>
                <w:rFonts w:ascii="Times New Roman" w:hAnsi="Times New Roman" w:cs="Times New Roman"/>
                <w:sz w:val="22"/>
              </w:rPr>
              <w:t xml:space="preserve"> their admissions test, ACCUPLACER, scores an</w:t>
            </w:r>
            <w:r w:rsidR="00286ACE">
              <w:rPr>
                <w:rFonts w:ascii="Times New Roman" w:hAnsi="Times New Roman" w:cs="Times New Roman"/>
                <w:sz w:val="22"/>
              </w:rPr>
              <w:t>d high school GPA. The</w:t>
            </w:r>
            <w:r w:rsidR="006E6134">
              <w:rPr>
                <w:rFonts w:ascii="Times New Roman" w:hAnsi="Times New Roman" w:cs="Times New Roman"/>
                <w:sz w:val="22"/>
              </w:rPr>
              <w:t xml:space="preserve"> integration of learning support students into gateway courses with other students </w:t>
            </w:r>
            <w:r w:rsidR="00C56B3B">
              <w:rPr>
                <w:rFonts w:ascii="Times New Roman" w:hAnsi="Times New Roman" w:cs="Times New Roman"/>
                <w:sz w:val="22"/>
              </w:rPr>
              <w:t>is a dep</w:t>
            </w:r>
            <w:r w:rsidR="006E6134">
              <w:rPr>
                <w:rFonts w:ascii="Times New Roman" w:hAnsi="Times New Roman" w:cs="Times New Roman"/>
                <w:sz w:val="22"/>
              </w:rPr>
              <w:t>arture from tradition</w:t>
            </w:r>
            <w:r w:rsidR="001C2B2E">
              <w:rPr>
                <w:rFonts w:ascii="Times New Roman" w:hAnsi="Times New Roman" w:cs="Times New Roman"/>
                <w:sz w:val="22"/>
              </w:rPr>
              <w:t xml:space="preserve">al placement requirements. </w:t>
            </w:r>
            <w:r w:rsidR="006E6134">
              <w:rPr>
                <w:rFonts w:ascii="Times New Roman" w:hAnsi="Times New Roman" w:cs="Times New Roman"/>
                <w:sz w:val="22"/>
              </w:rPr>
              <w:t>This restructuring of</w:t>
            </w:r>
            <w:r w:rsidR="00C56B3B">
              <w:rPr>
                <w:rFonts w:ascii="Times New Roman" w:hAnsi="Times New Roman" w:cs="Times New Roman"/>
                <w:sz w:val="22"/>
              </w:rPr>
              <w:t xml:space="preserve"> learning support requirement</w:t>
            </w:r>
            <w:r w:rsidR="001C2B2E">
              <w:rPr>
                <w:rFonts w:ascii="Times New Roman" w:hAnsi="Times New Roman" w:cs="Times New Roman"/>
                <w:sz w:val="22"/>
              </w:rPr>
              <w:t>s and placement has multiple benefits, including:</w:t>
            </w:r>
            <w:r w:rsidR="00C56B3B">
              <w:rPr>
                <w:rFonts w:ascii="Times New Roman" w:hAnsi="Times New Roman" w:cs="Times New Roman"/>
                <w:sz w:val="22"/>
              </w:rPr>
              <w:t xml:space="preserve"> </w:t>
            </w:r>
            <w:r w:rsidR="001C2B2E">
              <w:rPr>
                <w:rFonts w:ascii="Times New Roman" w:hAnsi="Times New Roman" w:cs="Times New Roman"/>
                <w:sz w:val="22"/>
              </w:rPr>
              <w:t xml:space="preserve">(1) </w:t>
            </w:r>
            <w:r w:rsidR="00C56B3B">
              <w:rPr>
                <w:rFonts w:ascii="Times New Roman" w:hAnsi="Times New Roman" w:cs="Times New Roman"/>
                <w:sz w:val="22"/>
              </w:rPr>
              <w:t>reduce</w:t>
            </w:r>
            <w:r w:rsidR="0088649A">
              <w:rPr>
                <w:rFonts w:ascii="Times New Roman" w:hAnsi="Times New Roman" w:cs="Times New Roman"/>
                <w:sz w:val="22"/>
              </w:rPr>
              <w:t>s</w:t>
            </w:r>
            <w:r w:rsidR="00C56B3B">
              <w:rPr>
                <w:rFonts w:ascii="Times New Roman" w:hAnsi="Times New Roman" w:cs="Times New Roman"/>
                <w:sz w:val="22"/>
              </w:rPr>
              <w:t xml:space="preserve"> t</w:t>
            </w:r>
            <w:r w:rsidR="001C2B2E">
              <w:rPr>
                <w:rFonts w:ascii="Times New Roman" w:hAnsi="Times New Roman" w:cs="Times New Roman"/>
                <w:sz w:val="22"/>
              </w:rPr>
              <w:t>he learning support requirement of</w:t>
            </w:r>
            <w:r w:rsidR="006E6134">
              <w:rPr>
                <w:rFonts w:ascii="Times New Roman" w:hAnsi="Times New Roman" w:cs="Times New Roman"/>
                <w:sz w:val="22"/>
              </w:rPr>
              <w:t xml:space="preserve"> students</w:t>
            </w:r>
            <w:r w:rsidR="00C56B3B">
              <w:rPr>
                <w:rFonts w:ascii="Times New Roman" w:hAnsi="Times New Roman" w:cs="Times New Roman"/>
                <w:sz w:val="22"/>
              </w:rPr>
              <w:t xml:space="preserve"> by 3-6 credit hours,</w:t>
            </w:r>
            <w:r w:rsidR="0088649A">
              <w:rPr>
                <w:rFonts w:ascii="Times New Roman" w:hAnsi="Times New Roman" w:cs="Times New Roman"/>
                <w:sz w:val="22"/>
              </w:rPr>
              <w:t xml:space="preserve"> </w:t>
            </w:r>
            <w:r w:rsidR="001C2B2E">
              <w:rPr>
                <w:rFonts w:ascii="Times New Roman" w:hAnsi="Times New Roman" w:cs="Times New Roman"/>
                <w:sz w:val="22"/>
              </w:rPr>
              <w:t>(2)</w:t>
            </w:r>
            <w:r w:rsidR="0088649A">
              <w:rPr>
                <w:rFonts w:ascii="Times New Roman" w:hAnsi="Times New Roman" w:cs="Times New Roman"/>
                <w:sz w:val="22"/>
              </w:rPr>
              <w:t xml:space="preserve"> </w:t>
            </w:r>
            <w:r w:rsidR="001C2B2E">
              <w:rPr>
                <w:rFonts w:ascii="Times New Roman" w:hAnsi="Times New Roman" w:cs="Times New Roman"/>
                <w:sz w:val="22"/>
              </w:rPr>
              <w:t>shortens</w:t>
            </w:r>
            <w:r w:rsidR="006E6134">
              <w:rPr>
                <w:rFonts w:ascii="Times New Roman" w:hAnsi="Times New Roman" w:cs="Times New Roman"/>
                <w:sz w:val="22"/>
              </w:rPr>
              <w:t xml:space="preserve"> time to degree, and </w:t>
            </w:r>
            <w:r w:rsidR="001C2B2E">
              <w:rPr>
                <w:rFonts w:ascii="Times New Roman" w:hAnsi="Times New Roman" w:cs="Times New Roman"/>
                <w:sz w:val="22"/>
              </w:rPr>
              <w:t>(3) reduces cost</w:t>
            </w:r>
            <w:r w:rsidR="0088649A">
              <w:rPr>
                <w:rFonts w:ascii="Times New Roman" w:hAnsi="Times New Roman" w:cs="Times New Roman"/>
                <w:sz w:val="22"/>
              </w:rPr>
              <w:t xml:space="preserve"> to students.</w:t>
            </w:r>
          </w:p>
        </w:tc>
      </w:tr>
      <w:tr w:rsidR="001300FC" w:rsidRPr="00706AFD" w14:paraId="4542D5BD" w14:textId="77777777" w:rsidTr="00B87766">
        <w:tc>
          <w:tcPr>
            <w:tcW w:w="11520" w:type="dxa"/>
            <w:gridSpan w:val="3"/>
          </w:tcPr>
          <w:p w14:paraId="3C272853" w14:textId="77777777" w:rsidR="001300FC" w:rsidRPr="00706AFD" w:rsidRDefault="001300FC" w:rsidP="001300FC">
            <w:pPr>
              <w:spacing w:line="360" w:lineRule="auto"/>
              <w:rPr>
                <w:rFonts w:ascii="Times New Roman" w:hAnsi="Times New Roman" w:cs="Times New Roman"/>
                <w:i/>
                <w:sz w:val="22"/>
              </w:rPr>
            </w:pPr>
            <w:r w:rsidRPr="00706AFD">
              <w:rPr>
                <w:rFonts w:ascii="Times New Roman" w:hAnsi="Times New Roman" w:cs="Times New Roman"/>
                <w:b/>
                <w:sz w:val="22"/>
              </w:rPr>
              <w:t>Measures of Progress and Success</w:t>
            </w:r>
          </w:p>
        </w:tc>
      </w:tr>
      <w:tr w:rsidR="001300FC" w:rsidRPr="00706AFD" w14:paraId="2E0C0783" w14:textId="77777777" w:rsidTr="00B87766">
        <w:tc>
          <w:tcPr>
            <w:tcW w:w="1980" w:type="dxa"/>
            <w:gridSpan w:val="2"/>
          </w:tcPr>
          <w:p w14:paraId="300E887B" w14:textId="77777777" w:rsidR="001300FC" w:rsidRPr="00706AFD" w:rsidRDefault="001300FC" w:rsidP="004478E9">
            <w:pPr>
              <w:rPr>
                <w:rFonts w:ascii="Times New Roman" w:hAnsi="Times New Roman" w:cs="Times New Roman"/>
                <w:b/>
                <w:sz w:val="22"/>
              </w:rPr>
            </w:pPr>
            <w:r w:rsidRPr="00706AFD">
              <w:rPr>
                <w:rFonts w:ascii="Times New Roman" w:hAnsi="Times New Roman" w:cs="Times New Roman"/>
                <w:b/>
                <w:sz w:val="22"/>
              </w:rPr>
              <w:t>Measure, metric, or data element</w:t>
            </w:r>
          </w:p>
        </w:tc>
        <w:tc>
          <w:tcPr>
            <w:tcW w:w="9540" w:type="dxa"/>
          </w:tcPr>
          <w:p w14:paraId="63B4E6ED" w14:textId="550CBEB2" w:rsidR="001300FC" w:rsidRPr="00706AFD" w:rsidRDefault="001300FC" w:rsidP="00545A40">
            <w:pPr>
              <w:spacing w:line="360" w:lineRule="auto"/>
              <w:contextualSpacing/>
              <w:rPr>
                <w:rFonts w:ascii="Times New Roman" w:hAnsi="Times New Roman" w:cs="Times New Roman"/>
                <w:sz w:val="22"/>
              </w:rPr>
            </w:pPr>
          </w:p>
        </w:tc>
      </w:tr>
      <w:tr w:rsidR="001300FC" w:rsidRPr="00706AFD" w14:paraId="36D42564" w14:textId="77777777" w:rsidTr="00B87766">
        <w:tc>
          <w:tcPr>
            <w:tcW w:w="540" w:type="dxa"/>
            <w:vMerge w:val="restart"/>
          </w:tcPr>
          <w:p w14:paraId="1E88F845" w14:textId="77777777" w:rsidR="001300FC" w:rsidRPr="00706AFD" w:rsidRDefault="001300FC" w:rsidP="001300FC">
            <w:pPr>
              <w:spacing w:line="360" w:lineRule="auto"/>
              <w:rPr>
                <w:rFonts w:ascii="Times New Roman" w:hAnsi="Times New Roman" w:cs="Times New Roman"/>
                <w:b/>
                <w:sz w:val="22"/>
              </w:rPr>
            </w:pPr>
          </w:p>
        </w:tc>
        <w:tc>
          <w:tcPr>
            <w:tcW w:w="1440" w:type="dxa"/>
          </w:tcPr>
          <w:p w14:paraId="07A93414" w14:textId="77777777" w:rsidR="001300FC" w:rsidRPr="00706AFD" w:rsidRDefault="001300FC" w:rsidP="007B7010">
            <w:pPr>
              <w:rPr>
                <w:rFonts w:ascii="Times New Roman" w:hAnsi="Times New Roman" w:cs="Times New Roman"/>
                <w:b/>
                <w:sz w:val="22"/>
              </w:rPr>
            </w:pPr>
            <w:r w:rsidRPr="00706AFD">
              <w:rPr>
                <w:rFonts w:ascii="Times New Roman" w:hAnsi="Times New Roman" w:cs="Times New Roman"/>
                <w:b/>
                <w:sz w:val="22"/>
              </w:rPr>
              <w:t>Baseline measures</w:t>
            </w:r>
          </w:p>
        </w:tc>
        <w:tc>
          <w:tcPr>
            <w:tcW w:w="9540" w:type="dxa"/>
          </w:tcPr>
          <w:p w14:paraId="65190609" w14:textId="4EA342CB" w:rsidR="002B2B43" w:rsidRPr="002B2B43" w:rsidRDefault="00A63271" w:rsidP="007B7010">
            <w:pPr>
              <w:spacing w:line="360" w:lineRule="auto"/>
              <w:contextualSpacing/>
              <w:rPr>
                <w:rFonts w:ascii="Times New Roman" w:hAnsi="Times New Roman" w:cs="Times New Roman"/>
                <w:i/>
                <w:color w:val="FF0000"/>
                <w:sz w:val="22"/>
              </w:rPr>
            </w:pPr>
            <w:r>
              <w:rPr>
                <w:rFonts w:ascii="Times New Roman" w:hAnsi="Times New Roman" w:cs="Times New Roman"/>
                <w:i/>
                <w:color w:val="FF0000"/>
                <w:sz w:val="22"/>
              </w:rPr>
              <w:t>Fall 2016</w:t>
            </w:r>
          </w:p>
          <w:p w14:paraId="57B75C9A" w14:textId="0F9382DB" w:rsidR="001300FC" w:rsidRDefault="00055FD4" w:rsidP="0055637C">
            <w:pPr>
              <w:contextualSpacing/>
              <w:rPr>
                <w:rFonts w:ascii="Times New Roman" w:hAnsi="Times New Roman" w:cs="Times New Roman"/>
                <w:sz w:val="22"/>
              </w:rPr>
            </w:pPr>
            <w:r>
              <w:rPr>
                <w:rFonts w:ascii="Times New Roman" w:hAnsi="Times New Roman" w:cs="Times New Roman"/>
                <w:sz w:val="22"/>
              </w:rPr>
              <w:t>Pass</w:t>
            </w:r>
            <w:r w:rsidR="00A63271">
              <w:rPr>
                <w:rFonts w:ascii="Times New Roman" w:hAnsi="Times New Roman" w:cs="Times New Roman"/>
                <w:sz w:val="22"/>
              </w:rPr>
              <w:t xml:space="preserve"> rate for College Algebra Students with LS Co</w:t>
            </w:r>
            <w:r w:rsidR="00D545E1">
              <w:rPr>
                <w:rFonts w:ascii="Times New Roman" w:hAnsi="Times New Roman" w:cs="Times New Roman"/>
                <w:sz w:val="22"/>
              </w:rPr>
              <w:t>-</w:t>
            </w:r>
            <w:r w:rsidR="00A63271">
              <w:rPr>
                <w:rFonts w:ascii="Times New Roman" w:hAnsi="Times New Roman" w:cs="Times New Roman"/>
                <w:sz w:val="22"/>
              </w:rPr>
              <w:t>req Requirement</w:t>
            </w:r>
            <w:r w:rsidR="002B2B43">
              <w:rPr>
                <w:rFonts w:ascii="Times New Roman" w:hAnsi="Times New Roman" w:cs="Times New Roman"/>
                <w:sz w:val="22"/>
              </w:rPr>
              <w:t>:</w:t>
            </w:r>
            <w:r w:rsidR="00CE464E">
              <w:rPr>
                <w:rFonts w:ascii="Times New Roman" w:hAnsi="Times New Roman" w:cs="Times New Roman"/>
                <w:sz w:val="22"/>
              </w:rPr>
              <w:t xml:space="preserve"> 60.6% </w:t>
            </w:r>
            <w:r w:rsidR="00A63271">
              <w:rPr>
                <w:rFonts w:ascii="Times New Roman" w:hAnsi="Times New Roman" w:cs="Times New Roman"/>
                <w:sz w:val="22"/>
              </w:rPr>
              <w:t>(N = 127)</w:t>
            </w:r>
            <w:r w:rsidR="002B2B43">
              <w:rPr>
                <w:rFonts w:ascii="Times New Roman" w:hAnsi="Times New Roman" w:cs="Times New Roman"/>
                <w:sz w:val="22"/>
              </w:rPr>
              <w:t xml:space="preserve"> </w:t>
            </w:r>
          </w:p>
          <w:p w14:paraId="0BCF9D59" w14:textId="04D768AA" w:rsidR="002B2B43" w:rsidRPr="00417D4B" w:rsidRDefault="00A63271" w:rsidP="007B7010">
            <w:pPr>
              <w:spacing w:line="360" w:lineRule="auto"/>
              <w:contextualSpacing/>
              <w:rPr>
                <w:rFonts w:ascii="Times New Roman" w:hAnsi="Times New Roman" w:cs="Times New Roman"/>
                <w:sz w:val="22"/>
              </w:rPr>
            </w:pPr>
            <w:r>
              <w:rPr>
                <w:rFonts w:ascii="Times New Roman" w:hAnsi="Times New Roman" w:cs="Times New Roman"/>
                <w:sz w:val="22"/>
              </w:rPr>
              <w:t>Pass rate for College Algebra Students After Completing Foundation Math: 57.1% (N = 91)</w:t>
            </w:r>
          </w:p>
        </w:tc>
      </w:tr>
      <w:tr w:rsidR="001300FC" w:rsidRPr="00706AFD" w14:paraId="67168EB5" w14:textId="77777777" w:rsidTr="00B87766">
        <w:tc>
          <w:tcPr>
            <w:tcW w:w="540" w:type="dxa"/>
            <w:vMerge/>
          </w:tcPr>
          <w:p w14:paraId="03AB40CD" w14:textId="77777777" w:rsidR="001300FC" w:rsidRPr="00706AFD" w:rsidRDefault="001300FC" w:rsidP="001300FC">
            <w:pPr>
              <w:spacing w:line="360" w:lineRule="auto"/>
              <w:rPr>
                <w:rFonts w:ascii="Times New Roman" w:hAnsi="Times New Roman" w:cs="Times New Roman"/>
                <w:b/>
                <w:sz w:val="22"/>
              </w:rPr>
            </w:pPr>
          </w:p>
        </w:tc>
        <w:tc>
          <w:tcPr>
            <w:tcW w:w="1440" w:type="dxa"/>
          </w:tcPr>
          <w:p w14:paraId="5BE1B949" w14:textId="77777777" w:rsidR="001300FC" w:rsidRPr="00706AFD" w:rsidRDefault="001300FC" w:rsidP="007B7010">
            <w:pPr>
              <w:rPr>
                <w:rFonts w:ascii="Times New Roman" w:hAnsi="Times New Roman" w:cs="Times New Roman"/>
                <w:b/>
                <w:sz w:val="22"/>
              </w:rPr>
            </w:pPr>
            <w:r w:rsidRPr="00706AFD">
              <w:rPr>
                <w:rFonts w:ascii="Times New Roman" w:hAnsi="Times New Roman" w:cs="Times New Roman"/>
                <w:b/>
                <w:sz w:val="22"/>
              </w:rPr>
              <w:t>Interim Measures of Progress</w:t>
            </w:r>
          </w:p>
        </w:tc>
        <w:tc>
          <w:tcPr>
            <w:tcW w:w="9540" w:type="dxa"/>
          </w:tcPr>
          <w:p w14:paraId="6A9554D7" w14:textId="77777777" w:rsidR="002B2B43" w:rsidRDefault="00A63271" w:rsidP="0055637C">
            <w:pPr>
              <w:spacing w:line="360" w:lineRule="auto"/>
              <w:rPr>
                <w:rFonts w:ascii="Times New Roman" w:hAnsi="Times New Roman" w:cs="Times New Roman"/>
                <w:i/>
                <w:color w:val="FF0000"/>
                <w:sz w:val="22"/>
              </w:rPr>
            </w:pPr>
            <w:r>
              <w:rPr>
                <w:rFonts w:ascii="Times New Roman" w:hAnsi="Times New Roman" w:cs="Times New Roman"/>
                <w:i/>
                <w:color w:val="FF0000"/>
                <w:sz w:val="22"/>
              </w:rPr>
              <w:t>Fall 2017</w:t>
            </w:r>
          </w:p>
          <w:p w14:paraId="2C3E24CD" w14:textId="6CC3131E" w:rsidR="00A63271" w:rsidRPr="001C2B2E" w:rsidRDefault="001C2B2E" w:rsidP="0055637C">
            <w:pPr>
              <w:spacing w:line="360" w:lineRule="auto"/>
              <w:rPr>
                <w:rFonts w:ascii="Times New Roman" w:hAnsi="Times New Roman" w:cs="Times New Roman"/>
                <w:color w:val="FF0000"/>
                <w:sz w:val="22"/>
              </w:rPr>
            </w:pPr>
            <w:r w:rsidRPr="001C2B2E">
              <w:rPr>
                <w:rFonts w:ascii="Times New Roman" w:hAnsi="Times New Roman" w:cs="Times New Roman"/>
                <w:color w:val="000000" w:themeColor="text1"/>
                <w:sz w:val="22"/>
              </w:rPr>
              <w:t>Results w</w:t>
            </w:r>
            <w:r w:rsidR="00034E93" w:rsidRPr="001C2B2E">
              <w:rPr>
                <w:rFonts w:ascii="Times New Roman" w:hAnsi="Times New Roman" w:cs="Times New Roman"/>
                <w:color w:val="000000" w:themeColor="text1"/>
                <w:sz w:val="22"/>
              </w:rPr>
              <w:t>ill be reported in the 2017-18 CCG Update</w:t>
            </w:r>
          </w:p>
        </w:tc>
      </w:tr>
      <w:tr w:rsidR="001300FC" w:rsidRPr="00706AFD" w14:paraId="7F35A70E" w14:textId="77777777" w:rsidTr="00B87766">
        <w:tc>
          <w:tcPr>
            <w:tcW w:w="540" w:type="dxa"/>
            <w:vMerge/>
          </w:tcPr>
          <w:p w14:paraId="676DA578" w14:textId="77777777" w:rsidR="001300FC" w:rsidRPr="00706AFD" w:rsidRDefault="001300FC" w:rsidP="001300FC">
            <w:pPr>
              <w:spacing w:line="360" w:lineRule="auto"/>
              <w:rPr>
                <w:rFonts w:ascii="Times New Roman" w:hAnsi="Times New Roman" w:cs="Times New Roman"/>
                <w:b/>
                <w:sz w:val="22"/>
              </w:rPr>
            </w:pPr>
          </w:p>
        </w:tc>
        <w:tc>
          <w:tcPr>
            <w:tcW w:w="1440" w:type="dxa"/>
          </w:tcPr>
          <w:p w14:paraId="7471E620" w14:textId="77777777" w:rsidR="001300FC" w:rsidRPr="00706AFD" w:rsidRDefault="001300FC" w:rsidP="007B7010">
            <w:pPr>
              <w:rPr>
                <w:rFonts w:ascii="Times New Roman" w:hAnsi="Times New Roman" w:cs="Times New Roman"/>
                <w:b/>
                <w:sz w:val="22"/>
              </w:rPr>
            </w:pPr>
            <w:r w:rsidRPr="00706AFD">
              <w:rPr>
                <w:rFonts w:ascii="Times New Roman" w:hAnsi="Times New Roman" w:cs="Times New Roman"/>
                <w:b/>
                <w:sz w:val="22"/>
              </w:rPr>
              <w:t>Measures of Success</w:t>
            </w:r>
          </w:p>
        </w:tc>
        <w:tc>
          <w:tcPr>
            <w:tcW w:w="9540" w:type="dxa"/>
          </w:tcPr>
          <w:p w14:paraId="1D5A027F" w14:textId="037CBA68" w:rsidR="008A4E1C" w:rsidRPr="00842815" w:rsidRDefault="00034E93" w:rsidP="008A4E1C">
            <w:pPr>
              <w:contextualSpacing/>
              <w:rPr>
                <w:rFonts w:ascii="Times New Roman" w:hAnsi="Times New Roman" w:cs="Times New Roman"/>
                <w:b/>
                <w:sz w:val="22"/>
              </w:rPr>
            </w:pPr>
            <w:r>
              <w:rPr>
                <w:rFonts w:ascii="Times New Roman" w:hAnsi="Times New Roman" w:cs="Times New Roman"/>
                <w:b/>
                <w:sz w:val="22"/>
              </w:rPr>
              <w:t>Annual</w:t>
            </w:r>
            <w:r w:rsidR="00842815">
              <w:rPr>
                <w:rFonts w:ascii="Times New Roman" w:hAnsi="Times New Roman" w:cs="Times New Roman"/>
                <w:b/>
                <w:sz w:val="22"/>
              </w:rPr>
              <w:t xml:space="preserve"> Target</w:t>
            </w:r>
            <w:r w:rsidR="00F32EEA">
              <w:rPr>
                <w:rFonts w:ascii="Times New Roman" w:hAnsi="Times New Roman" w:cs="Times New Roman"/>
                <w:b/>
                <w:sz w:val="22"/>
              </w:rPr>
              <w:t xml:space="preserve">: </w:t>
            </w:r>
            <w:r w:rsidR="00842815">
              <w:rPr>
                <w:rFonts w:ascii="Times New Roman" w:hAnsi="Times New Roman" w:cs="Times New Roman"/>
                <w:sz w:val="22"/>
              </w:rPr>
              <w:t>Three (3</w:t>
            </w:r>
            <w:r w:rsidR="00F32EEA" w:rsidRPr="00F32EEA">
              <w:rPr>
                <w:rFonts w:ascii="Times New Roman" w:hAnsi="Times New Roman" w:cs="Times New Roman"/>
                <w:sz w:val="22"/>
              </w:rPr>
              <w:t>) percent increase</w:t>
            </w:r>
            <w:r w:rsidR="00842815">
              <w:rPr>
                <w:rFonts w:ascii="Times New Roman" w:hAnsi="Times New Roman" w:cs="Times New Roman"/>
                <w:sz w:val="22"/>
              </w:rPr>
              <w:t xml:space="preserve"> in the</w:t>
            </w:r>
            <w:r w:rsidR="001C2B2E">
              <w:rPr>
                <w:rFonts w:ascii="Times New Roman" w:hAnsi="Times New Roman" w:cs="Times New Roman"/>
                <w:sz w:val="22"/>
              </w:rPr>
              <w:t xml:space="preserve"> LS Co</w:t>
            </w:r>
            <w:r w:rsidR="00D545E1">
              <w:rPr>
                <w:rFonts w:ascii="Times New Roman" w:hAnsi="Times New Roman" w:cs="Times New Roman"/>
                <w:sz w:val="22"/>
              </w:rPr>
              <w:t>-req</w:t>
            </w:r>
            <w:r w:rsidR="001C2B2E">
              <w:rPr>
                <w:rFonts w:ascii="Times New Roman" w:hAnsi="Times New Roman" w:cs="Times New Roman"/>
                <w:sz w:val="22"/>
              </w:rPr>
              <w:t xml:space="preserve"> student</w:t>
            </w:r>
            <w:r w:rsidR="00842815">
              <w:rPr>
                <w:rFonts w:ascii="Times New Roman" w:hAnsi="Times New Roman" w:cs="Times New Roman"/>
                <w:sz w:val="22"/>
              </w:rPr>
              <w:t xml:space="preserve"> pass rates of </w:t>
            </w:r>
            <w:r w:rsidR="00F32EEA" w:rsidRPr="00F32EEA">
              <w:rPr>
                <w:rFonts w:ascii="Times New Roman" w:hAnsi="Times New Roman" w:cs="Times New Roman"/>
                <w:sz w:val="22"/>
              </w:rPr>
              <w:t xml:space="preserve">gateway </w:t>
            </w:r>
            <w:r w:rsidR="00842815">
              <w:rPr>
                <w:rFonts w:ascii="Times New Roman" w:hAnsi="Times New Roman" w:cs="Times New Roman"/>
                <w:sz w:val="22"/>
              </w:rPr>
              <w:t xml:space="preserve">Math </w:t>
            </w:r>
            <w:r w:rsidR="00F32EEA" w:rsidRPr="00F32EEA">
              <w:rPr>
                <w:rFonts w:ascii="Times New Roman" w:hAnsi="Times New Roman" w:cs="Times New Roman"/>
                <w:sz w:val="22"/>
              </w:rPr>
              <w:t>courses;</w:t>
            </w:r>
            <w:r w:rsidR="00F32EEA">
              <w:rPr>
                <w:rFonts w:ascii="Times New Roman" w:hAnsi="Times New Roman" w:cs="Times New Roman"/>
                <w:b/>
                <w:sz w:val="22"/>
              </w:rPr>
              <w:t xml:space="preserve"> </w:t>
            </w:r>
            <w:r w:rsidR="001C2B2E">
              <w:rPr>
                <w:rFonts w:ascii="Times New Roman" w:hAnsi="Times New Roman" w:cs="Times New Roman"/>
                <w:sz w:val="22"/>
              </w:rPr>
              <w:t>The overall goal is to sustain high</w:t>
            </w:r>
            <w:r w:rsidR="00842815" w:rsidRPr="00842815">
              <w:rPr>
                <w:rFonts w:ascii="Times New Roman" w:hAnsi="Times New Roman" w:cs="Times New Roman"/>
                <w:sz w:val="22"/>
              </w:rPr>
              <w:t xml:space="preserve"> academic </w:t>
            </w:r>
            <w:r w:rsidR="00842815">
              <w:rPr>
                <w:rFonts w:ascii="Times New Roman" w:hAnsi="Times New Roman" w:cs="Times New Roman"/>
                <w:sz w:val="22"/>
              </w:rPr>
              <w:t>performance of LS c</w:t>
            </w:r>
            <w:r w:rsidR="00842815" w:rsidRPr="00842815">
              <w:rPr>
                <w:rFonts w:ascii="Times New Roman" w:hAnsi="Times New Roman" w:cs="Times New Roman"/>
                <w:sz w:val="22"/>
              </w:rPr>
              <w:t>o-requisite students</w:t>
            </w:r>
            <w:r w:rsidR="00842815">
              <w:rPr>
                <w:rFonts w:ascii="Times New Roman" w:hAnsi="Times New Roman" w:cs="Times New Roman"/>
                <w:sz w:val="22"/>
              </w:rPr>
              <w:t xml:space="preserve"> in gateway courses</w:t>
            </w:r>
            <w:r w:rsidR="00D545E1">
              <w:rPr>
                <w:rFonts w:ascii="Times New Roman" w:hAnsi="Times New Roman" w:cs="Times New Roman"/>
                <w:sz w:val="22"/>
              </w:rPr>
              <w:t xml:space="preserve"> when compared to those </w:t>
            </w:r>
            <w:r w:rsidR="001C2B2E">
              <w:rPr>
                <w:rFonts w:ascii="Times New Roman" w:hAnsi="Times New Roman" w:cs="Times New Roman"/>
                <w:sz w:val="22"/>
              </w:rPr>
              <w:t xml:space="preserve">who start </w:t>
            </w:r>
            <w:r w:rsidR="00D545E1">
              <w:rPr>
                <w:rFonts w:ascii="Times New Roman" w:hAnsi="Times New Roman" w:cs="Times New Roman"/>
                <w:sz w:val="22"/>
              </w:rPr>
              <w:t>with</w:t>
            </w:r>
            <w:r w:rsidR="001C2B2E">
              <w:rPr>
                <w:rFonts w:ascii="Times New Roman" w:hAnsi="Times New Roman" w:cs="Times New Roman"/>
                <w:sz w:val="22"/>
              </w:rPr>
              <w:t xml:space="preserve"> the lower LS Foundation courses</w:t>
            </w:r>
          </w:p>
          <w:p w14:paraId="02A7ECD7" w14:textId="19C4B86C" w:rsidR="001300FC" w:rsidRPr="00417D4B" w:rsidRDefault="00034E93" w:rsidP="008A4E1C">
            <w:pPr>
              <w:contextualSpacing/>
              <w:rPr>
                <w:rFonts w:ascii="Times New Roman" w:hAnsi="Times New Roman" w:cs="Times New Roman"/>
                <w:sz w:val="22"/>
              </w:rPr>
            </w:pPr>
            <w:r w:rsidRPr="00034E93">
              <w:rPr>
                <w:rFonts w:ascii="Times New Roman" w:hAnsi="Times New Roman" w:cs="Times New Roman"/>
                <w:b/>
                <w:sz w:val="22"/>
              </w:rPr>
              <w:t>2025 Target:</w:t>
            </w:r>
            <w:r>
              <w:rPr>
                <w:rFonts w:ascii="Times New Roman" w:hAnsi="Times New Roman" w:cs="Times New Roman"/>
                <w:sz w:val="22"/>
              </w:rPr>
              <w:t xml:space="preserve"> 78% Pass rate</w:t>
            </w:r>
            <w:r w:rsidR="00842815">
              <w:rPr>
                <w:rFonts w:ascii="Times New Roman" w:hAnsi="Times New Roman" w:cs="Times New Roman"/>
                <w:sz w:val="22"/>
              </w:rPr>
              <w:t xml:space="preserve"> of LS co-requisite students in gateway Math courses</w:t>
            </w:r>
          </w:p>
        </w:tc>
      </w:tr>
      <w:tr w:rsidR="001300FC" w:rsidRPr="00706AFD" w14:paraId="6F2B8B2F" w14:textId="77777777" w:rsidTr="00B87766">
        <w:tc>
          <w:tcPr>
            <w:tcW w:w="1980" w:type="dxa"/>
            <w:gridSpan w:val="2"/>
          </w:tcPr>
          <w:p w14:paraId="4856B1B5" w14:textId="21D5CF80" w:rsidR="001300FC" w:rsidRPr="00706AFD" w:rsidRDefault="001300FC" w:rsidP="001300FC">
            <w:pPr>
              <w:spacing w:line="360" w:lineRule="auto"/>
              <w:rPr>
                <w:rFonts w:ascii="Times New Roman" w:hAnsi="Times New Roman" w:cs="Times New Roman"/>
                <w:b/>
                <w:sz w:val="22"/>
              </w:rPr>
            </w:pPr>
            <w:r w:rsidRPr="00706AFD">
              <w:rPr>
                <w:rFonts w:ascii="Times New Roman" w:hAnsi="Times New Roman" w:cs="Times New Roman"/>
                <w:b/>
                <w:sz w:val="22"/>
              </w:rPr>
              <w:t>Lessons Learned</w:t>
            </w:r>
          </w:p>
        </w:tc>
        <w:tc>
          <w:tcPr>
            <w:tcW w:w="9540" w:type="dxa"/>
          </w:tcPr>
          <w:p w14:paraId="4B57F2DC" w14:textId="124ED64D" w:rsidR="00A63271" w:rsidRDefault="00A63271" w:rsidP="003C6781">
            <w:pPr>
              <w:contextualSpacing/>
              <w:jc w:val="both"/>
              <w:rPr>
                <w:rFonts w:ascii="Times New Roman" w:hAnsi="Times New Roman" w:cs="Times New Roman"/>
                <w:sz w:val="22"/>
              </w:rPr>
            </w:pPr>
            <w:r>
              <w:rPr>
                <w:rFonts w:ascii="Times New Roman" w:hAnsi="Times New Roman" w:cs="Times New Roman"/>
                <w:sz w:val="22"/>
              </w:rPr>
              <w:t>The baseline results</w:t>
            </w:r>
            <w:r w:rsidR="009B6DBE">
              <w:rPr>
                <w:rFonts w:ascii="Times New Roman" w:hAnsi="Times New Roman" w:cs="Times New Roman"/>
                <w:sz w:val="22"/>
              </w:rPr>
              <w:t>, indicated above,</w:t>
            </w:r>
            <w:r>
              <w:rPr>
                <w:rFonts w:ascii="Times New Roman" w:hAnsi="Times New Roman" w:cs="Times New Roman"/>
                <w:sz w:val="22"/>
              </w:rPr>
              <w:t xml:space="preserve"> are cautiously convincing</w:t>
            </w:r>
            <w:r w:rsidR="00CE464E">
              <w:rPr>
                <w:rFonts w:ascii="Times New Roman" w:hAnsi="Times New Roman" w:cs="Times New Roman"/>
                <w:sz w:val="22"/>
              </w:rPr>
              <w:t xml:space="preserve"> and optimistic</w:t>
            </w:r>
            <w:r>
              <w:rPr>
                <w:rFonts w:ascii="Times New Roman" w:hAnsi="Times New Roman" w:cs="Times New Roman"/>
                <w:sz w:val="22"/>
              </w:rPr>
              <w:t xml:space="preserve"> that College Algebra (Math1111) students</w:t>
            </w:r>
            <w:r w:rsidR="00CE464E">
              <w:rPr>
                <w:rFonts w:ascii="Times New Roman" w:hAnsi="Times New Roman" w:cs="Times New Roman"/>
                <w:sz w:val="22"/>
              </w:rPr>
              <w:t>,</w:t>
            </w:r>
            <w:r>
              <w:rPr>
                <w:rFonts w:ascii="Times New Roman" w:hAnsi="Times New Roman" w:cs="Times New Roman"/>
                <w:sz w:val="22"/>
              </w:rPr>
              <w:t xml:space="preserve"> with the new intervention strategy of a co-requisite learning support lab requirement, out</w:t>
            </w:r>
            <w:r w:rsidR="009B6DBE">
              <w:rPr>
                <w:rFonts w:ascii="Times New Roman" w:hAnsi="Times New Roman" w:cs="Times New Roman"/>
                <w:sz w:val="22"/>
              </w:rPr>
              <w:t>-</w:t>
            </w:r>
            <w:r>
              <w:rPr>
                <w:rFonts w:ascii="Times New Roman" w:hAnsi="Times New Roman" w:cs="Times New Roman"/>
                <w:sz w:val="22"/>
              </w:rPr>
              <w:t>perform other learning support students who take College Algebra after completing the lower level foundation learning support</w:t>
            </w:r>
            <w:r w:rsidR="009B6DBE">
              <w:rPr>
                <w:rFonts w:ascii="Times New Roman" w:hAnsi="Times New Roman" w:cs="Times New Roman"/>
                <w:sz w:val="22"/>
              </w:rPr>
              <w:t xml:space="preserve"> course (MATH0098). This result</w:t>
            </w:r>
            <w:r>
              <w:rPr>
                <w:rFonts w:ascii="Times New Roman" w:hAnsi="Times New Roman" w:cs="Times New Roman"/>
                <w:sz w:val="22"/>
              </w:rPr>
              <w:t>, though</w:t>
            </w:r>
            <w:r w:rsidR="009B6DBE">
              <w:rPr>
                <w:rFonts w:ascii="Times New Roman" w:hAnsi="Times New Roman" w:cs="Times New Roman"/>
                <w:sz w:val="22"/>
              </w:rPr>
              <w:t xml:space="preserve"> preliminary and determined from</w:t>
            </w:r>
            <w:r>
              <w:rPr>
                <w:rFonts w:ascii="Times New Roman" w:hAnsi="Times New Roman" w:cs="Times New Roman"/>
                <w:sz w:val="22"/>
              </w:rPr>
              <w:t xml:space="preserve"> </w:t>
            </w:r>
            <w:r w:rsidR="00CE464E">
              <w:rPr>
                <w:rFonts w:ascii="Times New Roman" w:hAnsi="Times New Roman" w:cs="Times New Roman"/>
                <w:sz w:val="22"/>
              </w:rPr>
              <w:t>a limited sample size,</w:t>
            </w:r>
            <w:r>
              <w:rPr>
                <w:rFonts w:ascii="Times New Roman" w:hAnsi="Times New Roman" w:cs="Times New Roman"/>
                <w:sz w:val="22"/>
              </w:rPr>
              <w:t xml:space="preserve"> supports </w:t>
            </w:r>
            <w:r w:rsidR="00CE464E">
              <w:rPr>
                <w:rFonts w:ascii="Times New Roman" w:hAnsi="Times New Roman" w:cs="Times New Roman"/>
                <w:sz w:val="22"/>
              </w:rPr>
              <w:t xml:space="preserve">the </w:t>
            </w:r>
            <w:r>
              <w:rPr>
                <w:rFonts w:ascii="Times New Roman" w:hAnsi="Times New Roman" w:cs="Times New Roman"/>
                <w:sz w:val="22"/>
              </w:rPr>
              <w:t>national data that early assimilation of</w:t>
            </w:r>
            <w:r w:rsidR="009B6DBE">
              <w:rPr>
                <w:rFonts w:ascii="Times New Roman" w:hAnsi="Times New Roman" w:cs="Times New Roman"/>
                <w:sz w:val="22"/>
              </w:rPr>
              <w:t xml:space="preserve"> learning support</w:t>
            </w:r>
            <w:r>
              <w:rPr>
                <w:rFonts w:ascii="Times New Roman" w:hAnsi="Times New Roman" w:cs="Times New Roman"/>
                <w:sz w:val="22"/>
              </w:rPr>
              <w:t xml:space="preserve"> </w:t>
            </w:r>
            <w:r w:rsidR="009F5BF7">
              <w:rPr>
                <w:rFonts w:ascii="Times New Roman" w:hAnsi="Times New Roman" w:cs="Times New Roman"/>
                <w:sz w:val="22"/>
              </w:rPr>
              <w:t>students</w:t>
            </w:r>
            <w:r>
              <w:rPr>
                <w:rFonts w:ascii="Times New Roman" w:hAnsi="Times New Roman" w:cs="Times New Roman"/>
                <w:sz w:val="22"/>
              </w:rPr>
              <w:t xml:space="preserve"> in</w:t>
            </w:r>
            <w:r w:rsidR="009B6DBE">
              <w:rPr>
                <w:rFonts w:ascii="Times New Roman" w:hAnsi="Times New Roman" w:cs="Times New Roman"/>
                <w:sz w:val="22"/>
              </w:rPr>
              <w:t>to</w:t>
            </w:r>
            <w:r>
              <w:rPr>
                <w:rFonts w:ascii="Times New Roman" w:hAnsi="Times New Roman" w:cs="Times New Roman"/>
                <w:sz w:val="22"/>
              </w:rPr>
              <w:t xml:space="preserve"> gateway course</w:t>
            </w:r>
            <w:r w:rsidR="009B6DBE">
              <w:rPr>
                <w:rFonts w:ascii="Times New Roman" w:hAnsi="Times New Roman" w:cs="Times New Roman"/>
                <w:sz w:val="22"/>
              </w:rPr>
              <w:t>s</w:t>
            </w:r>
            <w:r w:rsidR="009F5BF7">
              <w:rPr>
                <w:rFonts w:ascii="Times New Roman" w:hAnsi="Times New Roman" w:cs="Times New Roman"/>
                <w:sz w:val="22"/>
              </w:rPr>
              <w:t xml:space="preserve">, </w:t>
            </w:r>
            <w:r w:rsidR="009B6DBE">
              <w:rPr>
                <w:rFonts w:ascii="Times New Roman" w:hAnsi="Times New Roman" w:cs="Times New Roman"/>
                <w:sz w:val="22"/>
              </w:rPr>
              <w:t xml:space="preserve">while </w:t>
            </w:r>
            <w:r w:rsidR="009F5BF7">
              <w:rPr>
                <w:rFonts w:ascii="Times New Roman" w:hAnsi="Times New Roman" w:cs="Times New Roman"/>
                <w:sz w:val="22"/>
              </w:rPr>
              <w:t>providing them “on time” and additional support, leads to better results and higher</w:t>
            </w:r>
            <w:r w:rsidR="009B6DBE">
              <w:rPr>
                <w:rFonts w:ascii="Times New Roman" w:hAnsi="Times New Roman" w:cs="Times New Roman"/>
                <w:sz w:val="22"/>
              </w:rPr>
              <w:t xml:space="preserve"> pass rates than the historical</w:t>
            </w:r>
            <w:r w:rsidR="009F5BF7">
              <w:rPr>
                <w:rFonts w:ascii="Times New Roman" w:hAnsi="Times New Roman" w:cs="Times New Roman"/>
                <w:sz w:val="22"/>
              </w:rPr>
              <w:t xml:space="preserve"> pre-requisite model</w:t>
            </w:r>
            <w:r w:rsidR="00D545E1">
              <w:rPr>
                <w:rFonts w:ascii="Times New Roman" w:hAnsi="Times New Roman" w:cs="Times New Roman"/>
                <w:sz w:val="22"/>
              </w:rPr>
              <w:t>.</w:t>
            </w:r>
            <w:r w:rsidR="009F5BF7">
              <w:rPr>
                <w:rFonts w:ascii="Times New Roman" w:hAnsi="Times New Roman" w:cs="Times New Roman"/>
                <w:sz w:val="22"/>
              </w:rPr>
              <w:t xml:space="preserve"> </w:t>
            </w:r>
            <w:r w:rsidR="00D545E1">
              <w:rPr>
                <w:rFonts w:ascii="Times New Roman" w:hAnsi="Times New Roman" w:cs="Times New Roman"/>
                <w:sz w:val="22"/>
              </w:rPr>
              <w:t>In the historical pre-requisite model,</w:t>
            </w:r>
            <w:r w:rsidR="009F5BF7">
              <w:rPr>
                <w:rFonts w:ascii="Times New Roman" w:hAnsi="Times New Roman" w:cs="Times New Roman"/>
                <w:sz w:val="22"/>
              </w:rPr>
              <w:t xml:space="preserve"> students must </w:t>
            </w:r>
            <w:r w:rsidR="00D545E1">
              <w:rPr>
                <w:rFonts w:ascii="Times New Roman" w:hAnsi="Times New Roman" w:cs="Times New Roman"/>
                <w:sz w:val="22"/>
              </w:rPr>
              <w:t xml:space="preserve">first </w:t>
            </w:r>
            <w:r w:rsidR="009F5BF7">
              <w:rPr>
                <w:rFonts w:ascii="Times New Roman" w:hAnsi="Times New Roman" w:cs="Times New Roman"/>
                <w:sz w:val="22"/>
              </w:rPr>
              <w:t>finish all learning suppor</w:t>
            </w:r>
            <w:r w:rsidR="009B6DBE">
              <w:rPr>
                <w:rFonts w:ascii="Times New Roman" w:hAnsi="Times New Roman" w:cs="Times New Roman"/>
                <w:sz w:val="22"/>
              </w:rPr>
              <w:t xml:space="preserve">t requirements before taking </w:t>
            </w:r>
            <w:r w:rsidR="009F5BF7">
              <w:rPr>
                <w:rFonts w:ascii="Times New Roman" w:hAnsi="Times New Roman" w:cs="Times New Roman"/>
                <w:sz w:val="22"/>
              </w:rPr>
              <w:t>gateway</w:t>
            </w:r>
            <w:r w:rsidR="009B6DBE">
              <w:rPr>
                <w:rFonts w:ascii="Times New Roman" w:hAnsi="Times New Roman" w:cs="Times New Roman"/>
                <w:sz w:val="22"/>
              </w:rPr>
              <w:t xml:space="preserve"> math courses, such as</w:t>
            </w:r>
            <w:r w:rsidR="009F5BF7">
              <w:rPr>
                <w:rFonts w:ascii="Times New Roman" w:hAnsi="Times New Roman" w:cs="Times New Roman"/>
                <w:sz w:val="22"/>
              </w:rPr>
              <w:t xml:space="preserve"> </w:t>
            </w:r>
            <w:r w:rsidR="009B6DBE">
              <w:rPr>
                <w:rFonts w:ascii="Times New Roman" w:hAnsi="Times New Roman" w:cs="Times New Roman"/>
                <w:sz w:val="22"/>
              </w:rPr>
              <w:t xml:space="preserve">the </w:t>
            </w:r>
            <w:r w:rsidR="009F5BF7">
              <w:rPr>
                <w:rFonts w:ascii="Times New Roman" w:hAnsi="Times New Roman" w:cs="Times New Roman"/>
                <w:sz w:val="22"/>
              </w:rPr>
              <w:t>Math 1111 Algebra course.</w:t>
            </w:r>
            <w:r w:rsidR="00CE464E">
              <w:rPr>
                <w:rFonts w:ascii="Times New Roman" w:hAnsi="Times New Roman" w:cs="Times New Roman"/>
                <w:sz w:val="22"/>
              </w:rPr>
              <w:t xml:space="preserve"> Further monitoring of these data in the next CCG update is needed to draw stronger conclusions.</w:t>
            </w:r>
          </w:p>
          <w:p w14:paraId="080CCB5A" w14:textId="77777777" w:rsidR="00A63271" w:rsidRDefault="00A63271" w:rsidP="003C6781">
            <w:pPr>
              <w:contextualSpacing/>
              <w:jc w:val="both"/>
              <w:rPr>
                <w:rFonts w:ascii="Times New Roman" w:hAnsi="Times New Roman" w:cs="Times New Roman"/>
                <w:sz w:val="22"/>
              </w:rPr>
            </w:pPr>
          </w:p>
          <w:p w14:paraId="19410A0E" w14:textId="659CB7AA" w:rsidR="00AE7CFF" w:rsidRPr="00706AFD" w:rsidRDefault="00B53129" w:rsidP="003C6781">
            <w:pPr>
              <w:contextualSpacing/>
              <w:jc w:val="both"/>
              <w:rPr>
                <w:rFonts w:ascii="Times New Roman" w:hAnsi="Times New Roman" w:cs="Times New Roman"/>
                <w:sz w:val="22"/>
              </w:rPr>
            </w:pPr>
            <w:r>
              <w:rPr>
                <w:rFonts w:ascii="Times New Roman" w:hAnsi="Times New Roman" w:cs="Times New Roman"/>
                <w:sz w:val="22"/>
              </w:rPr>
              <w:t>Class performance is stronger</w:t>
            </w:r>
            <w:r w:rsidR="00AE7CFF">
              <w:rPr>
                <w:rFonts w:ascii="Times New Roman" w:hAnsi="Times New Roman" w:cs="Times New Roman"/>
                <w:sz w:val="22"/>
              </w:rPr>
              <w:t xml:space="preserve"> w</w:t>
            </w:r>
            <w:r w:rsidR="002B4CD8">
              <w:rPr>
                <w:rFonts w:ascii="Times New Roman" w:hAnsi="Times New Roman" w:cs="Times New Roman"/>
                <w:sz w:val="22"/>
              </w:rPr>
              <w:t>hen the same instructor teaches</w:t>
            </w:r>
            <w:r w:rsidR="00AE7CFF">
              <w:rPr>
                <w:rFonts w:ascii="Times New Roman" w:hAnsi="Times New Roman" w:cs="Times New Roman"/>
                <w:sz w:val="22"/>
              </w:rPr>
              <w:t xml:space="preserve"> both the gateway and learning support </w:t>
            </w:r>
            <w:r w:rsidR="00027ECB">
              <w:rPr>
                <w:rFonts w:ascii="Times New Roman" w:hAnsi="Times New Roman" w:cs="Times New Roman"/>
                <w:sz w:val="22"/>
              </w:rPr>
              <w:t>co</w:t>
            </w:r>
            <w:r w:rsidR="003C6781">
              <w:rPr>
                <w:rFonts w:ascii="Times New Roman" w:hAnsi="Times New Roman" w:cs="Times New Roman"/>
                <w:sz w:val="22"/>
              </w:rPr>
              <w:t>-</w:t>
            </w:r>
            <w:r w:rsidR="00027ECB">
              <w:rPr>
                <w:rFonts w:ascii="Times New Roman" w:hAnsi="Times New Roman" w:cs="Times New Roman"/>
                <w:sz w:val="22"/>
              </w:rPr>
              <w:t xml:space="preserve">requisite courses. </w:t>
            </w:r>
            <w:r>
              <w:rPr>
                <w:rFonts w:ascii="Times New Roman" w:hAnsi="Times New Roman" w:cs="Times New Roman"/>
                <w:sz w:val="22"/>
              </w:rPr>
              <w:t>Many unexpected factor</w:t>
            </w:r>
            <w:r w:rsidR="002B4CD8">
              <w:rPr>
                <w:rFonts w:ascii="Times New Roman" w:hAnsi="Times New Roman" w:cs="Times New Roman"/>
                <w:sz w:val="22"/>
              </w:rPr>
              <w:t>s come into play when integrating</w:t>
            </w:r>
            <w:r>
              <w:rPr>
                <w:rFonts w:ascii="Times New Roman" w:hAnsi="Times New Roman" w:cs="Times New Roman"/>
                <w:sz w:val="22"/>
              </w:rPr>
              <w:t xml:space="preserve"> LS students into gateway courses, such as the social dynamics and interactions bet</w:t>
            </w:r>
            <w:r w:rsidR="002B4CD8">
              <w:rPr>
                <w:rFonts w:ascii="Times New Roman" w:hAnsi="Times New Roman" w:cs="Times New Roman"/>
                <w:sz w:val="22"/>
              </w:rPr>
              <w:t>ween LS and Non-LS students in the class; Being careful to not stigmatize</w:t>
            </w:r>
            <w:r>
              <w:rPr>
                <w:rFonts w:ascii="Times New Roman" w:hAnsi="Times New Roman" w:cs="Times New Roman"/>
                <w:sz w:val="22"/>
              </w:rPr>
              <w:t xml:space="preserve"> students who require an additional </w:t>
            </w:r>
            <w:r w:rsidR="00A526A7">
              <w:rPr>
                <w:rFonts w:ascii="Times New Roman" w:hAnsi="Times New Roman" w:cs="Times New Roman"/>
                <w:sz w:val="22"/>
              </w:rPr>
              <w:t xml:space="preserve">one </w:t>
            </w:r>
            <w:r w:rsidR="002B4CD8">
              <w:rPr>
                <w:rFonts w:ascii="Times New Roman" w:hAnsi="Times New Roman" w:cs="Times New Roman"/>
                <w:sz w:val="22"/>
              </w:rPr>
              <w:t xml:space="preserve">hour </w:t>
            </w:r>
            <w:r>
              <w:rPr>
                <w:rFonts w:ascii="Times New Roman" w:hAnsi="Times New Roman" w:cs="Times New Roman"/>
                <w:sz w:val="22"/>
              </w:rPr>
              <w:t>co</w:t>
            </w:r>
            <w:r w:rsidR="003C6781">
              <w:rPr>
                <w:rFonts w:ascii="Times New Roman" w:hAnsi="Times New Roman" w:cs="Times New Roman"/>
                <w:sz w:val="22"/>
              </w:rPr>
              <w:t>-</w:t>
            </w:r>
            <w:r>
              <w:rPr>
                <w:rFonts w:ascii="Times New Roman" w:hAnsi="Times New Roman" w:cs="Times New Roman"/>
                <w:sz w:val="22"/>
              </w:rPr>
              <w:t>requisite</w:t>
            </w:r>
            <w:r w:rsidR="002B4CD8">
              <w:rPr>
                <w:rFonts w:ascii="Times New Roman" w:hAnsi="Times New Roman" w:cs="Times New Roman"/>
                <w:sz w:val="22"/>
              </w:rPr>
              <w:t xml:space="preserve"> class is important; T</w:t>
            </w:r>
            <w:r>
              <w:rPr>
                <w:rFonts w:ascii="Times New Roman" w:hAnsi="Times New Roman" w:cs="Times New Roman"/>
                <w:sz w:val="22"/>
              </w:rPr>
              <w:t xml:space="preserve">he </w:t>
            </w:r>
            <w:r w:rsidR="002B4CD8">
              <w:rPr>
                <w:rFonts w:ascii="Times New Roman" w:hAnsi="Times New Roman" w:cs="Times New Roman"/>
                <w:sz w:val="22"/>
              </w:rPr>
              <w:t xml:space="preserve">difficulty in the </w:t>
            </w:r>
            <w:r w:rsidR="009D6852">
              <w:rPr>
                <w:rFonts w:ascii="Times New Roman" w:hAnsi="Times New Roman" w:cs="Times New Roman"/>
                <w:sz w:val="22"/>
              </w:rPr>
              <w:t>process of</w:t>
            </w:r>
            <w:r>
              <w:rPr>
                <w:rFonts w:ascii="Times New Roman" w:hAnsi="Times New Roman" w:cs="Times New Roman"/>
                <w:sz w:val="22"/>
              </w:rPr>
              <w:t xml:space="preserve"> mai</w:t>
            </w:r>
            <w:r w:rsidR="002B4CD8">
              <w:rPr>
                <w:rFonts w:ascii="Times New Roman" w:hAnsi="Times New Roman" w:cs="Times New Roman"/>
                <w:sz w:val="22"/>
              </w:rPr>
              <w:t xml:space="preserve">nstreaming LS students into </w:t>
            </w:r>
            <w:r>
              <w:rPr>
                <w:rFonts w:ascii="Times New Roman" w:hAnsi="Times New Roman" w:cs="Times New Roman"/>
                <w:sz w:val="22"/>
              </w:rPr>
              <w:t xml:space="preserve">rigorous gateway courses should not be underestimated and </w:t>
            </w:r>
            <w:r w:rsidR="002B4CD8">
              <w:rPr>
                <w:rFonts w:ascii="Times New Roman" w:hAnsi="Times New Roman" w:cs="Times New Roman"/>
                <w:sz w:val="22"/>
              </w:rPr>
              <w:t xml:space="preserve">should be </w:t>
            </w:r>
            <w:r>
              <w:rPr>
                <w:rFonts w:ascii="Times New Roman" w:hAnsi="Times New Roman" w:cs="Times New Roman"/>
                <w:sz w:val="22"/>
              </w:rPr>
              <w:t>comprehensively planned and implemented</w:t>
            </w:r>
            <w:r w:rsidR="002B4CD8">
              <w:rPr>
                <w:rFonts w:ascii="Times New Roman" w:hAnsi="Times New Roman" w:cs="Times New Roman"/>
                <w:sz w:val="22"/>
              </w:rPr>
              <w:t>.</w:t>
            </w:r>
          </w:p>
        </w:tc>
      </w:tr>
    </w:tbl>
    <w:p w14:paraId="6E30BC06" w14:textId="77777777" w:rsidR="00BA0585" w:rsidRDefault="00BA0585" w:rsidP="009C5DE4">
      <w:pPr>
        <w:shd w:val="clear" w:color="auto" w:fill="FFFFFF" w:themeFill="background1"/>
        <w:outlineLvl w:val="0"/>
        <w:rPr>
          <w:rFonts w:ascii="Times New Roman" w:hAnsi="Times New Roman" w:cs="Times New Roman"/>
          <w:b/>
          <w:sz w:val="28"/>
          <w:szCs w:val="28"/>
        </w:rPr>
      </w:pPr>
    </w:p>
    <w:tbl>
      <w:tblPr>
        <w:tblStyle w:val="TableGrid1"/>
        <w:tblW w:w="11520" w:type="dxa"/>
        <w:tblInd w:w="-1085" w:type="dxa"/>
        <w:tblLayout w:type="fixed"/>
        <w:tblLook w:val="04A0" w:firstRow="1" w:lastRow="0" w:firstColumn="1" w:lastColumn="0" w:noHBand="0" w:noVBand="1"/>
      </w:tblPr>
      <w:tblGrid>
        <w:gridCol w:w="540"/>
        <w:gridCol w:w="1350"/>
        <w:gridCol w:w="9630"/>
      </w:tblGrid>
      <w:tr w:rsidR="00BA0585" w:rsidRPr="00706AFD" w14:paraId="614A58AA" w14:textId="77777777" w:rsidTr="005C7C01">
        <w:tc>
          <w:tcPr>
            <w:tcW w:w="1890" w:type="dxa"/>
            <w:gridSpan w:val="2"/>
          </w:tcPr>
          <w:p w14:paraId="54F2883A" w14:textId="360DFFA6" w:rsidR="00BA0585" w:rsidRPr="00706AFD" w:rsidRDefault="00BA0585" w:rsidP="005F01B2">
            <w:pPr>
              <w:rPr>
                <w:rFonts w:ascii="Times New Roman" w:hAnsi="Times New Roman" w:cs="Times New Roman"/>
                <w:b/>
                <w:sz w:val="22"/>
              </w:rPr>
            </w:pPr>
            <w:r>
              <w:rPr>
                <w:rFonts w:ascii="Times New Roman" w:hAnsi="Times New Roman" w:cs="Times New Roman"/>
                <w:b/>
                <w:sz w:val="22"/>
              </w:rPr>
              <w:t>High-impact S</w:t>
            </w:r>
            <w:r w:rsidRPr="00706AFD">
              <w:rPr>
                <w:rFonts w:ascii="Times New Roman" w:hAnsi="Times New Roman" w:cs="Times New Roman"/>
                <w:b/>
                <w:sz w:val="22"/>
              </w:rPr>
              <w:t>trategy</w:t>
            </w:r>
            <w:r>
              <w:rPr>
                <w:rFonts w:ascii="Times New Roman" w:hAnsi="Times New Roman" w:cs="Times New Roman"/>
                <w:b/>
                <w:sz w:val="22"/>
              </w:rPr>
              <w:t xml:space="preserve"> #5</w:t>
            </w:r>
          </w:p>
        </w:tc>
        <w:tc>
          <w:tcPr>
            <w:tcW w:w="9630" w:type="dxa"/>
          </w:tcPr>
          <w:p w14:paraId="77610D5B" w14:textId="1ADC0CAF" w:rsidR="00BA0585" w:rsidRPr="00706AFD" w:rsidRDefault="00572138" w:rsidP="005F01B2">
            <w:pPr>
              <w:rPr>
                <w:rFonts w:ascii="Times New Roman" w:hAnsi="Times New Roman" w:cs="Times New Roman"/>
                <w:sz w:val="22"/>
              </w:rPr>
            </w:pPr>
            <w:r w:rsidRPr="00572138">
              <w:rPr>
                <w:rFonts w:ascii="Times New Roman" w:hAnsi="Times New Roman" w:cs="Times New Roman"/>
                <w:b/>
                <w:sz w:val="22"/>
                <w:u w:val="single"/>
              </w:rPr>
              <w:t>Strategy 5.0:</w:t>
            </w:r>
            <w:r w:rsidR="00AB1CC1">
              <w:rPr>
                <w:rFonts w:ascii="Times New Roman" w:hAnsi="Times New Roman" w:cs="Times New Roman"/>
                <w:sz w:val="22"/>
              </w:rPr>
              <w:t xml:space="preserve"> U</w:t>
            </w:r>
            <w:r w:rsidR="00BA0585">
              <w:rPr>
                <w:rFonts w:ascii="Times New Roman" w:hAnsi="Times New Roman" w:cs="Times New Roman"/>
                <w:sz w:val="22"/>
              </w:rPr>
              <w:t>t</w:t>
            </w:r>
            <w:r w:rsidR="004D39F8">
              <w:rPr>
                <w:rFonts w:ascii="Times New Roman" w:hAnsi="Times New Roman" w:cs="Times New Roman"/>
                <w:sz w:val="22"/>
              </w:rPr>
              <w:t>ilize various intervention strat</w:t>
            </w:r>
            <w:r w:rsidR="00FA1931">
              <w:rPr>
                <w:rFonts w:ascii="Times New Roman" w:hAnsi="Times New Roman" w:cs="Times New Roman"/>
                <w:sz w:val="22"/>
              </w:rPr>
              <w:t>egies to improve retention</w:t>
            </w:r>
            <w:r w:rsidR="004D39F8">
              <w:rPr>
                <w:rFonts w:ascii="Times New Roman" w:hAnsi="Times New Roman" w:cs="Times New Roman"/>
                <w:sz w:val="22"/>
              </w:rPr>
              <w:t xml:space="preserve">, </w:t>
            </w:r>
            <w:r w:rsidR="00FA1931">
              <w:rPr>
                <w:rFonts w:ascii="Times New Roman" w:hAnsi="Times New Roman" w:cs="Times New Roman"/>
                <w:sz w:val="22"/>
              </w:rPr>
              <w:t xml:space="preserve">progression, and graduation </w:t>
            </w:r>
            <w:r w:rsidR="00AC019B">
              <w:rPr>
                <w:rFonts w:ascii="Times New Roman" w:hAnsi="Times New Roman" w:cs="Times New Roman"/>
                <w:sz w:val="22"/>
              </w:rPr>
              <w:t xml:space="preserve">(RPG) </w:t>
            </w:r>
            <w:r w:rsidR="00EA30C4">
              <w:rPr>
                <w:rFonts w:ascii="Times New Roman" w:hAnsi="Times New Roman" w:cs="Times New Roman"/>
                <w:sz w:val="22"/>
              </w:rPr>
              <w:t>rates, thus</w:t>
            </w:r>
            <w:r w:rsidR="00AC019B">
              <w:rPr>
                <w:rFonts w:ascii="Times New Roman" w:hAnsi="Times New Roman" w:cs="Times New Roman"/>
                <w:sz w:val="22"/>
              </w:rPr>
              <w:t xml:space="preserve"> completion rates</w:t>
            </w:r>
            <w:r w:rsidR="004D39F8">
              <w:rPr>
                <w:rFonts w:ascii="Times New Roman" w:hAnsi="Times New Roman" w:cs="Times New Roman"/>
                <w:sz w:val="22"/>
              </w:rPr>
              <w:t xml:space="preserve"> for</w:t>
            </w:r>
            <w:r w:rsidR="00BA0585">
              <w:rPr>
                <w:rFonts w:ascii="Times New Roman" w:hAnsi="Times New Roman" w:cs="Times New Roman"/>
                <w:sz w:val="22"/>
              </w:rPr>
              <w:t xml:space="preserve"> continuing</w:t>
            </w:r>
            <w:r w:rsidR="004D39F8">
              <w:rPr>
                <w:rFonts w:ascii="Times New Roman" w:hAnsi="Times New Roman" w:cs="Times New Roman"/>
                <w:sz w:val="22"/>
              </w:rPr>
              <w:t>/returning students</w:t>
            </w:r>
          </w:p>
        </w:tc>
      </w:tr>
      <w:tr w:rsidR="00BA0585" w:rsidRPr="00706AFD" w14:paraId="53E5C137" w14:textId="77777777" w:rsidTr="005C7C01">
        <w:tc>
          <w:tcPr>
            <w:tcW w:w="1890" w:type="dxa"/>
            <w:gridSpan w:val="2"/>
          </w:tcPr>
          <w:p w14:paraId="7C384E4A" w14:textId="77777777" w:rsidR="00BA0585" w:rsidRPr="00706AFD" w:rsidRDefault="00BA0585" w:rsidP="005F01B2">
            <w:pPr>
              <w:rPr>
                <w:rFonts w:ascii="Times New Roman" w:hAnsi="Times New Roman" w:cs="Times New Roman"/>
                <w:b/>
                <w:sz w:val="22"/>
              </w:rPr>
            </w:pPr>
            <w:r w:rsidRPr="00706AFD">
              <w:rPr>
                <w:rFonts w:ascii="Times New Roman" w:hAnsi="Times New Roman" w:cs="Times New Roman"/>
                <w:b/>
                <w:sz w:val="22"/>
              </w:rPr>
              <w:t xml:space="preserve">Related Goal </w:t>
            </w:r>
            <w:r>
              <w:rPr>
                <w:rFonts w:ascii="Times New Roman" w:hAnsi="Times New Roman" w:cs="Times New Roman"/>
                <w:b/>
                <w:sz w:val="22"/>
              </w:rPr>
              <w:t>3</w:t>
            </w:r>
          </w:p>
        </w:tc>
        <w:tc>
          <w:tcPr>
            <w:tcW w:w="9630" w:type="dxa"/>
          </w:tcPr>
          <w:p w14:paraId="1720799A" w14:textId="2CEF05E4" w:rsidR="00BA0585" w:rsidRPr="00706AFD" w:rsidRDefault="00BA0585" w:rsidP="00BA0585">
            <w:pPr>
              <w:rPr>
                <w:rFonts w:ascii="Times New Roman" w:hAnsi="Times New Roman" w:cs="Times New Roman"/>
                <w:sz w:val="22"/>
              </w:rPr>
            </w:pPr>
            <w:r>
              <w:rPr>
                <w:rFonts w:ascii="Times New Roman" w:hAnsi="Times New Roman" w:cs="Times New Roman"/>
                <w:sz w:val="22"/>
              </w:rPr>
              <w:t>Goal 6</w:t>
            </w:r>
            <w:r w:rsidRPr="00706AFD">
              <w:rPr>
                <w:rFonts w:ascii="Times New Roman" w:hAnsi="Times New Roman" w:cs="Times New Roman"/>
                <w:sz w:val="22"/>
              </w:rPr>
              <w:t xml:space="preserve">: </w:t>
            </w:r>
            <w:r>
              <w:rPr>
                <w:rFonts w:ascii="Times New Roman" w:hAnsi="Times New Roman" w:cs="Times New Roman"/>
                <w:sz w:val="22"/>
              </w:rPr>
              <w:t>Increase RPG rates of students</w:t>
            </w:r>
          </w:p>
        </w:tc>
      </w:tr>
      <w:tr w:rsidR="00BA0585" w:rsidRPr="00706AFD" w14:paraId="24F656B0" w14:textId="77777777" w:rsidTr="005C7C01">
        <w:tc>
          <w:tcPr>
            <w:tcW w:w="1890" w:type="dxa"/>
            <w:gridSpan w:val="2"/>
          </w:tcPr>
          <w:p w14:paraId="303244A1" w14:textId="77777777" w:rsidR="00BA0585" w:rsidRPr="00706AFD" w:rsidRDefault="00BA0585" w:rsidP="005F01B2">
            <w:pPr>
              <w:rPr>
                <w:rFonts w:ascii="Times New Roman" w:hAnsi="Times New Roman" w:cs="Times New Roman"/>
                <w:b/>
                <w:sz w:val="22"/>
              </w:rPr>
            </w:pPr>
            <w:r w:rsidRPr="00706AFD">
              <w:rPr>
                <w:rFonts w:ascii="Times New Roman" w:hAnsi="Times New Roman" w:cs="Times New Roman"/>
                <w:b/>
                <w:sz w:val="22"/>
              </w:rPr>
              <w:t>Demonstration of Priority and/or Impact</w:t>
            </w:r>
          </w:p>
        </w:tc>
        <w:tc>
          <w:tcPr>
            <w:tcW w:w="9630" w:type="dxa"/>
          </w:tcPr>
          <w:p w14:paraId="1AC82A1D" w14:textId="16805B34" w:rsidR="001820F6" w:rsidRDefault="009D6852" w:rsidP="0072430B">
            <w:pPr>
              <w:contextualSpacing/>
              <w:jc w:val="both"/>
              <w:rPr>
                <w:rFonts w:ascii="Times New Roman" w:hAnsi="Times New Roman" w:cs="Times New Roman"/>
                <w:iCs/>
                <w:sz w:val="22"/>
                <w:szCs w:val="22"/>
              </w:rPr>
            </w:pPr>
            <w:r>
              <w:rPr>
                <w:rFonts w:ascii="Times New Roman" w:hAnsi="Times New Roman" w:cs="Times New Roman"/>
                <w:iCs/>
                <w:sz w:val="22"/>
                <w:szCs w:val="22"/>
              </w:rPr>
              <w:t xml:space="preserve">The highest </w:t>
            </w:r>
            <w:r w:rsidR="004D39F8">
              <w:rPr>
                <w:rFonts w:ascii="Times New Roman" w:hAnsi="Times New Roman" w:cs="Times New Roman"/>
                <w:iCs/>
                <w:sz w:val="22"/>
                <w:szCs w:val="22"/>
              </w:rPr>
              <w:t xml:space="preserve">attrition </w:t>
            </w:r>
            <w:r>
              <w:rPr>
                <w:rFonts w:ascii="Times New Roman" w:hAnsi="Times New Roman" w:cs="Times New Roman"/>
                <w:iCs/>
                <w:sz w:val="22"/>
                <w:szCs w:val="22"/>
              </w:rPr>
              <w:t xml:space="preserve">of the college </w:t>
            </w:r>
            <w:r w:rsidR="004D39F8">
              <w:rPr>
                <w:rFonts w:ascii="Times New Roman" w:hAnsi="Times New Roman" w:cs="Times New Roman"/>
                <w:iCs/>
                <w:sz w:val="22"/>
                <w:szCs w:val="22"/>
              </w:rPr>
              <w:t>is among continuing/ret</w:t>
            </w:r>
            <w:r>
              <w:rPr>
                <w:rFonts w:ascii="Times New Roman" w:hAnsi="Times New Roman" w:cs="Times New Roman"/>
                <w:iCs/>
                <w:sz w:val="22"/>
                <w:szCs w:val="22"/>
              </w:rPr>
              <w:t xml:space="preserve">urning students, </w:t>
            </w:r>
            <w:r w:rsidR="00AC019B">
              <w:rPr>
                <w:rFonts w:ascii="Times New Roman" w:hAnsi="Times New Roman" w:cs="Times New Roman"/>
                <w:iCs/>
                <w:sz w:val="22"/>
                <w:szCs w:val="22"/>
              </w:rPr>
              <w:t>particularly through the first semester sophomore year. Therefore,</w:t>
            </w:r>
            <w:r>
              <w:rPr>
                <w:rFonts w:ascii="Times New Roman" w:hAnsi="Times New Roman" w:cs="Times New Roman"/>
                <w:iCs/>
                <w:sz w:val="22"/>
                <w:szCs w:val="22"/>
              </w:rPr>
              <w:t xml:space="preserve"> any success in increasing</w:t>
            </w:r>
            <w:r w:rsidR="004D39F8">
              <w:rPr>
                <w:rFonts w:ascii="Times New Roman" w:hAnsi="Times New Roman" w:cs="Times New Roman"/>
                <w:iCs/>
                <w:sz w:val="22"/>
                <w:szCs w:val="22"/>
              </w:rPr>
              <w:t xml:space="preserve"> the retention and completion of </w:t>
            </w:r>
            <w:r>
              <w:rPr>
                <w:rFonts w:ascii="Times New Roman" w:hAnsi="Times New Roman" w:cs="Times New Roman"/>
                <w:iCs/>
                <w:sz w:val="22"/>
                <w:szCs w:val="22"/>
              </w:rPr>
              <w:t>continuing/returning student has enormous</w:t>
            </w:r>
            <w:r w:rsidR="004D39F8">
              <w:rPr>
                <w:rFonts w:ascii="Times New Roman" w:hAnsi="Times New Roman" w:cs="Times New Roman"/>
                <w:iCs/>
                <w:sz w:val="22"/>
                <w:szCs w:val="22"/>
              </w:rPr>
              <w:t xml:space="preserve"> p</w:t>
            </w:r>
            <w:r>
              <w:rPr>
                <w:rFonts w:ascii="Times New Roman" w:hAnsi="Times New Roman" w:cs="Times New Roman"/>
                <w:iCs/>
                <w:sz w:val="22"/>
                <w:szCs w:val="22"/>
              </w:rPr>
              <w:t>otential to positively impact</w:t>
            </w:r>
            <w:r w:rsidR="004D39F8">
              <w:rPr>
                <w:rFonts w:ascii="Times New Roman" w:hAnsi="Times New Roman" w:cs="Times New Roman"/>
                <w:iCs/>
                <w:sz w:val="22"/>
                <w:szCs w:val="22"/>
              </w:rPr>
              <w:t xml:space="preserve"> completion goal</w:t>
            </w:r>
            <w:r w:rsidR="003A635F">
              <w:rPr>
                <w:rFonts w:ascii="Times New Roman" w:hAnsi="Times New Roman" w:cs="Times New Roman"/>
                <w:iCs/>
                <w:sz w:val="22"/>
                <w:szCs w:val="22"/>
              </w:rPr>
              <w:t xml:space="preserve">s. To that end, the College </w:t>
            </w:r>
            <w:r w:rsidR="004D39F8">
              <w:rPr>
                <w:rFonts w:ascii="Times New Roman" w:hAnsi="Times New Roman" w:cs="Times New Roman"/>
                <w:iCs/>
                <w:sz w:val="22"/>
                <w:szCs w:val="22"/>
              </w:rPr>
              <w:t>employ</w:t>
            </w:r>
            <w:r w:rsidR="00AC019B">
              <w:rPr>
                <w:rFonts w:ascii="Times New Roman" w:hAnsi="Times New Roman" w:cs="Times New Roman"/>
                <w:iCs/>
                <w:sz w:val="22"/>
                <w:szCs w:val="22"/>
              </w:rPr>
              <w:t>ed</w:t>
            </w:r>
            <w:r w:rsidR="003A635F">
              <w:rPr>
                <w:rFonts w:ascii="Times New Roman" w:hAnsi="Times New Roman" w:cs="Times New Roman"/>
                <w:iCs/>
                <w:sz w:val="22"/>
                <w:szCs w:val="22"/>
              </w:rPr>
              <w:t xml:space="preserve"> three</w:t>
            </w:r>
            <w:r w:rsidR="004D39F8">
              <w:rPr>
                <w:rFonts w:ascii="Times New Roman" w:hAnsi="Times New Roman" w:cs="Times New Roman"/>
                <w:iCs/>
                <w:sz w:val="22"/>
                <w:szCs w:val="22"/>
              </w:rPr>
              <w:t xml:space="preserve"> strategies to reduce attriti</w:t>
            </w:r>
            <w:r w:rsidR="008A5971">
              <w:rPr>
                <w:rFonts w:ascii="Times New Roman" w:hAnsi="Times New Roman" w:cs="Times New Roman"/>
                <w:iCs/>
                <w:sz w:val="22"/>
                <w:szCs w:val="22"/>
              </w:rPr>
              <w:t>on</w:t>
            </w:r>
            <w:r>
              <w:rPr>
                <w:rFonts w:ascii="Times New Roman" w:hAnsi="Times New Roman" w:cs="Times New Roman"/>
                <w:iCs/>
                <w:sz w:val="22"/>
                <w:szCs w:val="22"/>
              </w:rPr>
              <w:t xml:space="preserve"> with this student cohort</w:t>
            </w:r>
            <w:r w:rsidR="00AC019B">
              <w:rPr>
                <w:rFonts w:ascii="Times New Roman" w:hAnsi="Times New Roman" w:cs="Times New Roman"/>
                <w:iCs/>
                <w:sz w:val="22"/>
                <w:szCs w:val="22"/>
              </w:rPr>
              <w:t xml:space="preserve"> to </w:t>
            </w:r>
            <w:r w:rsidR="008A5971">
              <w:rPr>
                <w:rFonts w:ascii="Times New Roman" w:hAnsi="Times New Roman" w:cs="Times New Roman"/>
                <w:iCs/>
                <w:sz w:val="22"/>
                <w:szCs w:val="22"/>
              </w:rPr>
              <w:t>increase the</w:t>
            </w:r>
            <w:r w:rsidR="00AC019B">
              <w:rPr>
                <w:rFonts w:ascii="Times New Roman" w:hAnsi="Times New Roman" w:cs="Times New Roman"/>
                <w:iCs/>
                <w:sz w:val="22"/>
                <w:szCs w:val="22"/>
              </w:rPr>
              <w:t>ir RPG</w:t>
            </w:r>
            <w:r w:rsidR="008A5971">
              <w:rPr>
                <w:rFonts w:ascii="Times New Roman" w:hAnsi="Times New Roman" w:cs="Times New Roman"/>
                <w:iCs/>
                <w:sz w:val="22"/>
                <w:szCs w:val="22"/>
              </w:rPr>
              <w:t xml:space="preserve"> </w:t>
            </w:r>
            <w:r w:rsidR="00AC019B">
              <w:rPr>
                <w:rFonts w:ascii="Times New Roman" w:hAnsi="Times New Roman" w:cs="Times New Roman"/>
                <w:iCs/>
                <w:sz w:val="22"/>
                <w:szCs w:val="22"/>
              </w:rPr>
              <w:t>and completion</w:t>
            </w:r>
            <w:r w:rsidR="004D39F8">
              <w:rPr>
                <w:rFonts w:ascii="Times New Roman" w:hAnsi="Times New Roman" w:cs="Times New Roman"/>
                <w:iCs/>
                <w:sz w:val="22"/>
                <w:szCs w:val="22"/>
              </w:rPr>
              <w:t>: (1) pre-register</w:t>
            </w:r>
            <w:r>
              <w:rPr>
                <w:rFonts w:ascii="Times New Roman" w:hAnsi="Times New Roman" w:cs="Times New Roman"/>
                <w:iCs/>
                <w:sz w:val="22"/>
                <w:szCs w:val="22"/>
              </w:rPr>
              <w:t xml:space="preserve"> continuing/returning </w:t>
            </w:r>
            <w:r w:rsidR="004D39F8">
              <w:rPr>
                <w:rFonts w:ascii="Times New Roman" w:hAnsi="Times New Roman" w:cs="Times New Roman"/>
                <w:iCs/>
                <w:sz w:val="22"/>
                <w:szCs w:val="22"/>
              </w:rPr>
              <w:t>student</w:t>
            </w:r>
            <w:r>
              <w:rPr>
                <w:rFonts w:ascii="Times New Roman" w:hAnsi="Times New Roman" w:cs="Times New Roman"/>
                <w:iCs/>
                <w:sz w:val="22"/>
                <w:szCs w:val="22"/>
              </w:rPr>
              <w:t>s, in the current semester, for the next</w:t>
            </w:r>
            <w:r w:rsidR="004D39F8">
              <w:rPr>
                <w:rFonts w:ascii="Times New Roman" w:hAnsi="Times New Roman" w:cs="Times New Roman"/>
                <w:iCs/>
                <w:sz w:val="22"/>
                <w:szCs w:val="22"/>
              </w:rPr>
              <w:t xml:space="preserve"> semester</w:t>
            </w:r>
            <w:r>
              <w:rPr>
                <w:rFonts w:ascii="Times New Roman" w:hAnsi="Times New Roman" w:cs="Times New Roman"/>
                <w:iCs/>
                <w:sz w:val="22"/>
                <w:szCs w:val="22"/>
              </w:rPr>
              <w:t xml:space="preserve"> classes</w:t>
            </w:r>
            <w:r w:rsidR="003A635F">
              <w:rPr>
                <w:rFonts w:ascii="Times New Roman" w:hAnsi="Times New Roman" w:cs="Times New Roman"/>
                <w:iCs/>
                <w:sz w:val="22"/>
                <w:szCs w:val="22"/>
              </w:rPr>
              <w:t>,</w:t>
            </w:r>
            <w:r w:rsidR="004D39F8">
              <w:rPr>
                <w:rFonts w:ascii="Times New Roman" w:hAnsi="Times New Roman" w:cs="Times New Roman"/>
                <w:iCs/>
                <w:sz w:val="22"/>
                <w:szCs w:val="22"/>
              </w:rPr>
              <w:t xml:space="preserve"> (2) provide GAP funding for those </w:t>
            </w:r>
            <w:r w:rsidR="008A5971">
              <w:rPr>
                <w:rFonts w:ascii="Times New Roman" w:hAnsi="Times New Roman" w:cs="Times New Roman"/>
                <w:iCs/>
                <w:sz w:val="22"/>
                <w:szCs w:val="22"/>
              </w:rPr>
              <w:t xml:space="preserve">continuing/returning </w:t>
            </w:r>
            <w:r w:rsidR="004D39F8">
              <w:rPr>
                <w:rFonts w:ascii="Times New Roman" w:hAnsi="Times New Roman" w:cs="Times New Roman"/>
                <w:iCs/>
                <w:sz w:val="22"/>
                <w:szCs w:val="22"/>
              </w:rPr>
              <w:t xml:space="preserve">students who drop-out due to </w:t>
            </w:r>
            <w:r>
              <w:rPr>
                <w:rFonts w:ascii="Times New Roman" w:hAnsi="Times New Roman" w:cs="Times New Roman"/>
                <w:iCs/>
                <w:sz w:val="22"/>
                <w:szCs w:val="22"/>
              </w:rPr>
              <w:t xml:space="preserve">the </w:t>
            </w:r>
            <w:r w:rsidR="004D39F8">
              <w:rPr>
                <w:rFonts w:ascii="Times New Roman" w:hAnsi="Times New Roman" w:cs="Times New Roman"/>
                <w:iCs/>
                <w:sz w:val="22"/>
                <w:szCs w:val="22"/>
              </w:rPr>
              <w:t xml:space="preserve">lack of </w:t>
            </w:r>
            <w:r w:rsidR="008A5971">
              <w:rPr>
                <w:rFonts w:ascii="Times New Roman" w:hAnsi="Times New Roman" w:cs="Times New Roman"/>
                <w:iCs/>
                <w:sz w:val="22"/>
                <w:szCs w:val="22"/>
              </w:rPr>
              <w:t xml:space="preserve">small dollar amounts (up to $500) of </w:t>
            </w:r>
            <w:r w:rsidR="004D39F8">
              <w:rPr>
                <w:rFonts w:ascii="Times New Roman" w:hAnsi="Times New Roman" w:cs="Times New Roman"/>
                <w:iCs/>
                <w:sz w:val="22"/>
                <w:szCs w:val="22"/>
              </w:rPr>
              <w:t>financial aid</w:t>
            </w:r>
            <w:r w:rsidR="00AC019B">
              <w:rPr>
                <w:rFonts w:ascii="Times New Roman" w:hAnsi="Times New Roman" w:cs="Times New Roman"/>
                <w:iCs/>
                <w:sz w:val="22"/>
                <w:szCs w:val="22"/>
              </w:rPr>
              <w:t xml:space="preserve">, and (3) monitor </w:t>
            </w:r>
            <w:r w:rsidR="003A635F">
              <w:rPr>
                <w:rFonts w:ascii="Times New Roman" w:hAnsi="Times New Roman" w:cs="Times New Roman"/>
                <w:iCs/>
                <w:sz w:val="22"/>
                <w:szCs w:val="22"/>
              </w:rPr>
              <w:t>student course selection</w:t>
            </w:r>
            <w:r w:rsidR="00AC019B">
              <w:rPr>
                <w:rFonts w:ascii="Times New Roman" w:hAnsi="Times New Roman" w:cs="Times New Roman"/>
                <w:iCs/>
                <w:sz w:val="22"/>
                <w:szCs w:val="22"/>
              </w:rPr>
              <w:t xml:space="preserve"> </w:t>
            </w:r>
            <w:r w:rsidR="003A635F">
              <w:rPr>
                <w:rFonts w:ascii="Times New Roman" w:hAnsi="Times New Roman" w:cs="Times New Roman"/>
                <w:iCs/>
                <w:sz w:val="22"/>
                <w:szCs w:val="22"/>
              </w:rPr>
              <w:t>and academic progress</w:t>
            </w:r>
            <w:r w:rsidR="00AC019B">
              <w:rPr>
                <w:rFonts w:ascii="Times New Roman" w:hAnsi="Times New Roman" w:cs="Times New Roman"/>
                <w:iCs/>
                <w:sz w:val="22"/>
                <w:szCs w:val="22"/>
              </w:rPr>
              <w:t xml:space="preserve"> carefully</w:t>
            </w:r>
            <w:r w:rsidR="003A635F">
              <w:rPr>
                <w:rFonts w:ascii="Times New Roman" w:hAnsi="Times New Roman" w:cs="Times New Roman"/>
                <w:iCs/>
                <w:sz w:val="22"/>
                <w:szCs w:val="22"/>
              </w:rPr>
              <w:t xml:space="preserve"> to ensure they stay on-track with program maps and completion planning. </w:t>
            </w:r>
            <w:r>
              <w:rPr>
                <w:rFonts w:ascii="Times New Roman" w:hAnsi="Times New Roman" w:cs="Times New Roman"/>
                <w:iCs/>
                <w:sz w:val="22"/>
                <w:szCs w:val="22"/>
              </w:rPr>
              <w:t>Data clearly show that s</w:t>
            </w:r>
            <w:r w:rsidR="001F2E3E">
              <w:rPr>
                <w:rFonts w:ascii="Times New Roman" w:hAnsi="Times New Roman" w:cs="Times New Roman"/>
                <w:iCs/>
                <w:sz w:val="22"/>
                <w:szCs w:val="22"/>
              </w:rPr>
              <w:t>tudents who pre-register are more likely to return the subsequ</w:t>
            </w:r>
            <w:r>
              <w:rPr>
                <w:rFonts w:ascii="Times New Roman" w:hAnsi="Times New Roman" w:cs="Times New Roman"/>
                <w:iCs/>
                <w:sz w:val="22"/>
                <w:szCs w:val="22"/>
              </w:rPr>
              <w:t>ent semester, particularly for spring to fall semesters, where a larger gap exist between classes</w:t>
            </w:r>
            <w:r w:rsidR="00AC019B">
              <w:rPr>
                <w:rFonts w:ascii="Times New Roman" w:hAnsi="Times New Roman" w:cs="Times New Roman"/>
                <w:iCs/>
                <w:sz w:val="22"/>
                <w:szCs w:val="22"/>
              </w:rPr>
              <w:t>, when</w:t>
            </w:r>
            <w:r>
              <w:rPr>
                <w:rFonts w:ascii="Times New Roman" w:hAnsi="Times New Roman" w:cs="Times New Roman"/>
                <w:iCs/>
                <w:sz w:val="22"/>
                <w:szCs w:val="22"/>
              </w:rPr>
              <w:t xml:space="preserve"> compared to fall to spring semesters. </w:t>
            </w:r>
            <w:r w:rsidR="00A4289D">
              <w:rPr>
                <w:rFonts w:ascii="Times New Roman" w:hAnsi="Times New Roman" w:cs="Times New Roman"/>
                <w:iCs/>
                <w:sz w:val="22"/>
                <w:szCs w:val="22"/>
              </w:rPr>
              <w:t>Data show that 20%</w:t>
            </w:r>
            <w:r w:rsidR="00AC019B">
              <w:rPr>
                <w:rFonts w:ascii="Times New Roman" w:hAnsi="Times New Roman" w:cs="Times New Roman"/>
                <w:iCs/>
                <w:sz w:val="22"/>
                <w:szCs w:val="22"/>
              </w:rPr>
              <w:t xml:space="preserve"> </w:t>
            </w:r>
            <w:r w:rsidR="00A4289D">
              <w:rPr>
                <w:rFonts w:ascii="Times New Roman" w:hAnsi="Times New Roman" w:cs="Times New Roman"/>
                <w:iCs/>
                <w:sz w:val="22"/>
                <w:szCs w:val="22"/>
              </w:rPr>
              <w:t>-</w:t>
            </w:r>
            <w:r w:rsidR="00AC019B">
              <w:rPr>
                <w:rFonts w:ascii="Times New Roman" w:hAnsi="Times New Roman" w:cs="Times New Roman"/>
                <w:iCs/>
                <w:sz w:val="22"/>
                <w:szCs w:val="22"/>
              </w:rPr>
              <w:t xml:space="preserve"> </w:t>
            </w:r>
            <w:r w:rsidR="00A4289D">
              <w:rPr>
                <w:rFonts w:ascii="Times New Roman" w:hAnsi="Times New Roman" w:cs="Times New Roman"/>
                <w:iCs/>
                <w:sz w:val="22"/>
                <w:szCs w:val="22"/>
              </w:rPr>
              <w:t>30% of commuter students do not return</w:t>
            </w:r>
            <w:r w:rsidR="003D6E62">
              <w:rPr>
                <w:rFonts w:ascii="Times New Roman" w:hAnsi="Times New Roman" w:cs="Times New Roman"/>
                <w:iCs/>
                <w:sz w:val="22"/>
                <w:szCs w:val="22"/>
              </w:rPr>
              <w:t xml:space="preserve"> between</w:t>
            </w:r>
            <w:r w:rsidR="00A4289D">
              <w:rPr>
                <w:rFonts w:ascii="Times New Roman" w:hAnsi="Times New Roman" w:cs="Times New Roman"/>
                <w:iCs/>
                <w:sz w:val="22"/>
                <w:szCs w:val="22"/>
              </w:rPr>
              <w:t xml:space="preserve"> </w:t>
            </w:r>
            <w:r w:rsidR="003D6E62">
              <w:rPr>
                <w:rFonts w:ascii="Times New Roman" w:hAnsi="Times New Roman" w:cs="Times New Roman"/>
                <w:iCs/>
                <w:sz w:val="22"/>
                <w:szCs w:val="22"/>
              </w:rPr>
              <w:t xml:space="preserve">the </w:t>
            </w:r>
            <w:r w:rsidR="00A4289D">
              <w:rPr>
                <w:rFonts w:ascii="Times New Roman" w:hAnsi="Times New Roman" w:cs="Times New Roman"/>
                <w:iCs/>
                <w:sz w:val="22"/>
                <w:szCs w:val="22"/>
              </w:rPr>
              <w:t>fa</w:t>
            </w:r>
            <w:r w:rsidR="003D6E62">
              <w:rPr>
                <w:rFonts w:ascii="Times New Roman" w:hAnsi="Times New Roman" w:cs="Times New Roman"/>
                <w:iCs/>
                <w:sz w:val="22"/>
                <w:szCs w:val="22"/>
              </w:rPr>
              <w:t>ll to spring semesters, and that the</w:t>
            </w:r>
            <w:r w:rsidR="00A4289D">
              <w:rPr>
                <w:rFonts w:ascii="Times New Roman" w:hAnsi="Times New Roman" w:cs="Times New Roman"/>
                <w:iCs/>
                <w:sz w:val="22"/>
                <w:szCs w:val="22"/>
              </w:rPr>
              <w:t xml:space="preserve"> attrition rates</w:t>
            </w:r>
            <w:r w:rsidR="003D6E62">
              <w:rPr>
                <w:rFonts w:ascii="Times New Roman" w:hAnsi="Times New Roman" w:cs="Times New Roman"/>
                <w:iCs/>
                <w:sz w:val="22"/>
                <w:szCs w:val="22"/>
              </w:rPr>
              <w:t xml:space="preserve"> for these students</w:t>
            </w:r>
            <w:r w:rsidR="00A4289D">
              <w:rPr>
                <w:rFonts w:ascii="Times New Roman" w:hAnsi="Times New Roman" w:cs="Times New Roman"/>
                <w:iCs/>
                <w:sz w:val="22"/>
                <w:szCs w:val="22"/>
              </w:rPr>
              <w:t xml:space="preserve"> increase an additional 5%</w:t>
            </w:r>
            <w:r w:rsidR="003D6E62">
              <w:rPr>
                <w:rFonts w:ascii="Times New Roman" w:hAnsi="Times New Roman" w:cs="Times New Roman"/>
                <w:iCs/>
                <w:sz w:val="22"/>
                <w:szCs w:val="22"/>
              </w:rPr>
              <w:t xml:space="preserve"> </w:t>
            </w:r>
            <w:r w:rsidR="00A4289D">
              <w:rPr>
                <w:rFonts w:ascii="Times New Roman" w:hAnsi="Times New Roman" w:cs="Times New Roman"/>
                <w:iCs/>
                <w:sz w:val="22"/>
                <w:szCs w:val="22"/>
              </w:rPr>
              <w:t>-</w:t>
            </w:r>
            <w:r w:rsidR="003D6E62">
              <w:rPr>
                <w:rFonts w:ascii="Times New Roman" w:hAnsi="Times New Roman" w:cs="Times New Roman"/>
                <w:iCs/>
                <w:sz w:val="22"/>
                <w:szCs w:val="22"/>
              </w:rPr>
              <w:t xml:space="preserve"> 10% between</w:t>
            </w:r>
            <w:r w:rsidR="00A4289D">
              <w:rPr>
                <w:rFonts w:ascii="Times New Roman" w:hAnsi="Times New Roman" w:cs="Times New Roman"/>
                <w:iCs/>
                <w:sz w:val="22"/>
                <w:szCs w:val="22"/>
              </w:rPr>
              <w:t xml:space="preserve"> spring to fall semester</w:t>
            </w:r>
            <w:r w:rsidR="003D6E62">
              <w:rPr>
                <w:rFonts w:ascii="Times New Roman" w:hAnsi="Times New Roman" w:cs="Times New Roman"/>
                <w:iCs/>
                <w:sz w:val="22"/>
                <w:szCs w:val="22"/>
              </w:rPr>
              <w:t>s</w:t>
            </w:r>
            <w:r w:rsidR="00A4289D">
              <w:rPr>
                <w:rFonts w:ascii="Times New Roman" w:hAnsi="Times New Roman" w:cs="Times New Roman"/>
                <w:iCs/>
                <w:sz w:val="22"/>
                <w:szCs w:val="22"/>
              </w:rPr>
              <w:t>.</w:t>
            </w:r>
            <w:r w:rsidR="003D6E62">
              <w:rPr>
                <w:rFonts w:ascii="Times New Roman" w:hAnsi="Times New Roman" w:cs="Times New Roman"/>
                <w:iCs/>
                <w:sz w:val="22"/>
                <w:szCs w:val="22"/>
              </w:rPr>
              <w:t xml:space="preserve"> Pre-registration strategies, therefore, are used to</w:t>
            </w:r>
            <w:r w:rsidR="001F2E3E">
              <w:rPr>
                <w:rFonts w:ascii="Times New Roman" w:hAnsi="Times New Roman" w:cs="Times New Roman"/>
                <w:iCs/>
                <w:sz w:val="22"/>
                <w:szCs w:val="22"/>
              </w:rPr>
              <w:t xml:space="preserve"> increase </w:t>
            </w:r>
            <w:r w:rsidR="00A4289D">
              <w:rPr>
                <w:rFonts w:ascii="Times New Roman" w:hAnsi="Times New Roman" w:cs="Times New Roman"/>
                <w:iCs/>
                <w:sz w:val="22"/>
                <w:szCs w:val="22"/>
              </w:rPr>
              <w:t xml:space="preserve">the </w:t>
            </w:r>
            <w:r>
              <w:rPr>
                <w:rFonts w:ascii="Times New Roman" w:hAnsi="Times New Roman" w:cs="Times New Roman"/>
                <w:iCs/>
                <w:sz w:val="22"/>
                <w:szCs w:val="22"/>
              </w:rPr>
              <w:t>retention</w:t>
            </w:r>
            <w:r w:rsidR="003D6E62">
              <w:rPr>
                <w:rFonts w:ascii="Times New Roman" w:hAnsi="Times New Roman" w:cs="Times New Roman"/>
                <w:iCs/>
                <w:sz w:val="22"/>
                <w:szCs w:val="22"/>
              </w:rPr>
              <w:t xml:space="preserve"> of continuing/returning</w:t>
            </w:r>
            <w:r w:rsidR="00A4289D">
              <w:rPr>
                <w:rFonts w:ascii="Times New Roman" w:hAnsi="Times New Roman" w:cs="Times New Roman"/>
                <w:iCs/>
                <w:sz w:val="22"/>
                <w:szCs w:val="22"/>
              </w:rPr>
              <w:t xml:space="preserve"> students, </w:t>
            </w:r>
            <w:r>
              <w:rPr>
                <w:rFonts w:ascii="Times New Roman" w:hAnsi="Times New Roman" w:cs="Times New Roman"/>
                <w:iCs/>
                <w:sz w:val="22"/>
                <w:szCs w:val="22"/>
              </w:rPr>
              <w:t>and ultimately</w:t>
            </w:r>
            <w:r w:rsidR="00A4289D">
              <w:rPr>
                <w:rFonts w:ascii="Times New Roman" w:hAnsi="Times New Roman" w:cs="Times New Roman"/>
                <w:iCs/>
                <w:sz w:val="22"/>
                <w:szCs w:val="22"/>
              </w:rPr>
              <w:t xml:space="preserve"> their college</w:t>
            </w:r>
            <w:r>
              <w:rPr>
                <w:rFonts w:ascii="Times New Roman" w:hAnsi="Times New Roman" w:cs="Times New Roman"/>
                <w:iCs/>
                <w:sz w:val="22"/>
                <w:szCs w:val="22"/>
              </w:rPr>
              <w:t xml:space="preserve"> </w:t>
            </w:r>
            <w:r w:rsidR="001F2E3E">
              <w:rPr>
                <w:rFonts w:ascii="Times New Roman" w:hAnsi="Times New Roman" w:cs="Times New Roman"/>
                <w:iCs/>
                <w:sz w:val="22"/>
                <w:szCs w:val="22"/>
              </w:rPr>
              <w:t>completion.</w:t>
            </w:r>
            <w:r>
              <w:rPr>
                <w:rFonts w:ascii="Times New Roman" w:hAnsi="Times New Roman" w:cs="Times New Roman"/>
                <w:iCs/>
                <w:sz w:val="22"/>
                <w:szCs w:val="22"/>
              </w:rPr>
              <w:t xml:space="preserve"> </w:t>
            </w:r>
          </w:p>
          <w:p w14:paraId="1989D415" w14:textId="77777777" w:rsidR="00AB1CC1" w:rsidRDefault="00AB1CC1" w:rsidP="0072430B">
            <w:pPr>
              <w:contextualSpacing/>
              <w:jc w:val="both"/>
              <w:rPr>
                <w:rFonts w:ascii="Times New Roman" w:hAnsi="Times New Roman" w:cs="Times New Roman"/>
                <w:iCs/>
                <w:sz w:val="22"/>
                <w:szCs w:val="22"/>
              </w:rPr>
            </w:pPr>
          </w:p>
          <w:p w14:paraId="5799F12F" w14:textId="3A0C22B1" w:rsidR="00AB1CC1" w:rsidRPr="00AB1CC1" w:rsidRDefault="00AB1CC1" w:rsidP="0072430B">
            <w:pPr>
              <w:contextualSpacing/>
              <w:jc w:val="both"/>
              <w:rPr>
                <w:rFonts w:ascii="Times New Roman" w:hAnsi="Times New Roman" w:cs="Times New Roman"/>
                <w:b/>
                <w:iCs/>
                <w:sz w:val="22"/>
                <w:szCs w:val="22"/>
              </w:rPr>
            </w:pPr>
            <w:r w:rsidRPr="00AB1CC1">
              <w:rPr>
                <w:rFonts w:ascii="Times New Roman" w:hAnsi="Times New Roman" w:cs="Times New Roman"/>
                <w:b/>
                <w:iCs/>
                <w:sz w:val="22"/>
                <w:szCs w:val="22"/>
              </w:rPr>
              <w:t>Impact:</w:t>
            </w:r>
            <w:r>
              <w:rPr>
                <w:rFonts w:ascii="Times New Roman" w:hAnsi="Times New Roman" w:cs="Times New Roman"/>
                <w:b/>
                <w:iCs/>
                <w:sz w:val="22"/>
                <w:szCs w:val="22"/>
              </w:rPr>
              <w:t xml:space="preserve"> </w:t>
            </w:r>
            <w:r w:rsidR="008A5971">
              <w:rPr>
                <w:rFonts w:ascii="Times New Roman" w:hAnsi="Times New Roman" w:cs="Times New Roman"/>
                <w:iCs/>
                <w:sz w:val="22"/>
                <w:szCs w:val="22"/>
              </w:rPr>
              <w:t xml:space="preserve">Collectively, these strategies can </w:t>
            </w:r>
            <w:r>
              <w:rPr>
                <w:rFonts w:ascii="Times New Roman" w:hAnsi="Times New Roman" w:cs="Times New Roman"/>
                <w:iCs/>
                <w:sz w:val="22"/>
                <w:szCs w:val="22"/>
              </w:rPr>
              <w:t>potential</w:t>
            </w:r>
            <w:r w:rsidR="003D6E62">
              <w:rPr>
                <w:rFonts w:ascii="Times New Roman" w:hAnsi="Times New Roman" w:cs="Times New Roman"/>
                <w:iCs/>
                <w:sz w:val="22"/>
                <w:szCs w:val="22"/>
              </w:rPr>
              <w:t>ly impact up to 1900</w:t>
            </w:r>
            <w:r w:rsidR="008A5971">
              <w:rPr>
                <w:rFonts w:ascii="Times New Roman" w:hAnsi="Times New Roman" w:cs="Times New Roman"/>
                <w:iCs/>
                <w:sz w:val="22"/>
                <w:szCs w:val="22"/>
              </w:rPr>
              <w:t xml:space="preserve"> students</w:t>
            </w:r>
            <w:r>
              <w:rPr>
                <w:rFonts w:ascii="Times New Roman" w:hAnsi="Times New Roman" w:cs="Times New Roman"/>
                <w:iCs/>
                <w:sz w:val="22"/>
                <w:szCs w:val="22"/>
              </w:rPr>
              <w:t>,</w:t>
            </w:r>
            <w:r w:rsidRPr="00AB1CC1">
              <w:rPr>
                <w:rFonts w:ascii="Times New Roman" w:hAnsi="Times New Roman" w:cs="Times New Roman"/>
                <w:iCs/>
                <w:sz w:val="22"/>
                <w:szCs w:val="22"/>
              </w:rPr>
              <w:t xml:space="preserve"> each semester</w:t>
            </w:r>
            <w:r w:rsidR="000C2472">
              <w:rPr>
                <w:rFonts w:ascii="Times New Roman" w:hAnsi="Times New Roman" w:cs="Times New Roman"/>
                <w:iCs/>
                <w:sz w:val="22"/>
                <w:szCs w:val="22"/>
              </w:rPr>
              <w:t>.</w:t>
            </w:r>
          </w:p>
          <w:p w14:paraId="137FB2AD" w14:textId="76C5F7D4" w:rsidR="001F2E3E" w:rsidRPr="00706AFD" w:rsidRDefault="001F2E3E" w:rsidP="0072430B">
            <w:pPr>
              <w:contextualSpacing/>
              <w:jc w:val="both"/>
              <w:rPr>
                <w:rFonts w:ascii="Times New Roman" w:hAnsi="Times New Roman" w:cs="Times New Roman"/>
                <w:iCs/>
                <w:sz w:val="22"/>
                <w:szCs w:val="22"/>
              </w:rPr>
            </w:pPr>
          </w:p>
        </w:tc>
      </w:tr>
      <w:tr w:rsidR="00BA0585" w:rsidRPr="00706AFD" w14:paraId="3546D768" w14:textId="77777777" w:rsidTr="005C7C01">
        <w:tc>
          <w:tcPr>
            <w:tcW w:w="1890" w:type="dxa"/>
            <w:gridSpan w:val="2"/>
          </w:tcPr>
          <w:p w14:paraId="19686E7D" w14:textId="0C0463B4" w:rsidR="00BA0585" w:rsidRPr="00706AFD" w:rsidRDefault="00BA0585" w:rsidP="005F01B2">
            <w:pPr>
              <w:rPr>
                <w:rFonts w:ascii="Times New Roman" w:hAnsi="Times New Roman" w:cs="Times New Roman"/>
                <w:b/>
                <w:sz w:val="22"/>
              </w:rPr>
            </w:pPr>
            <w:r w:rsidRPr="00706AFD">
              <w:rPr>
                <w:rFonts w:ascii="Times New Roman" w:hAnsi="Times New Roman" w:cs="Times New Roman"/>
                <w:b/>
                <w:sz w:val="22"/>
              </w:rPr>
              <w:t>Primary Point of Contact</w:t>
            </w:r>
          </w:p>
        </w:tc>
        <w:tc>
          <w:tcPr>
            <w:tcW w:w="9630" w:type="dxa"/>
          </w:tcPr>
          <w:p w14:paraId="56636F00" w14:textId="793C2792" w:rsidR="00BA0585" w:rsidRPr="00706AFD" w:rsidRDefault="00BA0585" w:rsidP="005F01B2">
            <w:pPr>
              <w:contextualSpacing/>
              <w:rPr>
                <w:rFonts w:ascii="Times New Roman" w:hAnsi="Times New Roman" w:cs="Times New Roman"/>
                <w:sz w:val="22"/>
              </w:rPr>
            </w:pPr>
            <w:r>
              <w:rPr>
                <w:rFonts w:ascii="Times New Roman" w:hAnsi="Times New Roman" w:cs="Times New Roman"/>
                <w:sz w:val="22"/>
              </w:rPr>
              <w:t>Name</w:t>
            </w:r>
            <w:r w:rsidR="000C2472">
              <w:rPr>
                <w:rFonts w:ascii="Times New Roman" w:hAnsi="Times New Roman" w:cs="Times New Roman"/>
                <w:sz w:val="22"/>
              </w:rPr>
              <w:t>s</w:t>
            </w:r>
            <w:r>
              <w:rPr>
                <w:rFonts w:ascii="Times New Roman" w:hAnsi="Times New Roman" w:cs="Times New Roman"/>
                <w:sz w:val="22"/>
              </w:rPr>
              <w:t xml:space="preserve">: </w:t>
            </w:r>
            <w:r w:rsidR="003D6E62">
              <w:rPr>
                <w:rFonts w:ascii="Times New Roman" w:hAnsi="Times New Roman" w:cs="Times New Roman"/>
                <w:sz w:val="22"/>
              </w:rPr>
              <w:t xml:space="preserve"> Dr. Meda Rollings | </w:t>
            </w:r>
            <w:r w:rsidR="000C2472">
              <w:rPr>
                <w:rFonts w:ascii="Times New Roman" w:hAnsi="Times New Roman" w:cs="Times New Roman"/>
                <w:sz w:val="22"/>
              </w:rPr>
              <w:t xml:space="preserve">Edward Francois </w:t>
            </w:r>
          </w:p>
          <w:p w14:paraId="3FA638AE" w14:textId="0A14613A" w:rsidR="00BA0585" w:rsidRPr="00706AFD" w:rsidRDefault="00BA0585" w:rsidP="005F01B2">
            <w:pPr>
              <w:contextualSpacing/>
              <w:rPr>
                <w:rFonts w:ascii="Times New Roman" w:hAnsi="Times New Roman" w:cs="Times New Roman"/>
                <w:sz w:val="22"/>
              </w:rPr>
            </w:pPr>
            <w:r w:rsidRPr="00706AFD">
              <w:rPr>
                <w:rFonts w:ascii="Times New Roman" w:hAnsi="Times New Roman" w:cs="Times New Roman"/>
                <w:sz w:val="22"/>
              </w:rPr>
              <w:t>Title</w:t>
            </w:r>
            <w:r w:rsidR="000C2472">
              <w:rPr>
                <w:rFonts w:ascii="Times New Roman" w:hAnsi="Times New Roman" w:cs="Times New Roman"/>
                <w:sz w:val="22"/>
              </w:rPr>
              <w:t>s</w:t>
            </w:r>
            <w:r w:rsidRPr="00706AFD">
              <w:rPr>
                <w:rFonts w:ascii="Times New Roman" w:hAnsi="Times New Roman" w:cs="Times New Roman"/>
                <w:sz w:val="22"/>
              </w:rPr>
              <w:t xml:space="preserve">: </w:t>
            </w:r>
            <w:r>
              <w:rPr>
                <w:rFonts w:ascii="Times New Roman" w:hAnsi="Times New Roman" w:cs="Times New Roman"/>
                <w:sz w:val="22"/>
              </w:rPr>
              <w:t xml:space="preserve">  </w:t>
            </w:r>
            <w:r w:rsidR="00F45766">
              <w:rPr>
                <w:rFonts w:ascii="Times New Roman" w:hAnsi="Times New Roman" w:cs="Times New Roman"/>
                <w:sz w:val="22"/>
              </w:rPr>
              <w:t xml:space="preserve"> </w:t>
            </w:r>
            <w:r w:rsidRPr="00706AFD">
              <w:rPr>
                <w:rFonts w:ascii="Times New Roman" w:hAnsi="Times New Roman" w:cs="Times New Roman"/>
                <w:sz w:val="22"/>
              </w:rPr>
              <w:t>Director</w:t>
            </w:r>
            <w:r w:rsidR="00F45766">
              <w:rPr>
                <w:rFonts w:ascii="Times New Roman" w:hAnsi="Times New Roman" w:cs="Times New Roman"/>
                <w:sz w:val="22"/>
              </w:rPr>
              <w:t>, Faculty and Administrative Services</w:t>
            </w:r>
            <w:r w:rsidRPr="00706AFD">
              <w:rPr>
                <w:rFonts w:ascii="Times New Roman" w:hAnsi="Times New Roman" w:cs="Times New Roman"/>
                <w:sz w:val="22"/>
              </w:rPr>
              <w:t xml:space="preserve"> </w:t>
            </w:r>
            <w:r w:rsidR="003D6E62">
              <w:rPr>
                <w:rFonts w:ascii="Times New Roman" w:hAnsi="Times New Roman" w:cs="Times New Roman"/>
                <w:sz w:val="22"/>
              </w:rPr>
              <w:t>|</w:t>
            </w:r>
            <w:r w:rsidR="000C2472">
              <w:rPr>
                <w:rFonts w:ascii="Times New Roman" w:hAnsi="Times New Roman" w:cs="Times New Roman"/>
                <w:sz w:val="22"/>
              </w:rPr>
              <w:t xml:space="preserve"> Director, Analyt</w:t>
            </w:r>
            <w:r w:rsidR="008A5971">
              <w:rPr>
                <w:rFonts w:ascii="Times New Roman" w:hAnsi="Times New Roman" w:cs="Times New Roman"/>
                <w:sz w:val="22"/>
              </w:rPr>
              <w:t>ics and Retention, respectively.</w:t>
            </w:r>
          </w:p>
          <w:p w14:paraId="66D93157" w14:textId="78A99CF3" w:rsidR="00BA0585" w:rsidRPr="00B7306E" w:rsidRDefault="00BA0585" w:rsidP="005F01B2">
            <w:pPr>
              <w:contextualSpacing/>
              <w:rPr>
                <w:rFonts w:ascii="Times New Roman" w:hAnsi="Times New Roman" w:cs="Times New Roman"/>
                <w:sz w:val="22"/>
              </w:rPr>
            </w:pPr>
            <w:r w:rsidRPr="00706AFD">
              <w:rPr>
                <w:rFonts w:ascii="Times New Roman" w:hAnsi="Times New Roman" w:cs="Times New Roman"/>
                <w:sz w:val="22"/>
              </w:rPr>
              <w:t xml:space="preserve">Email: </w:t>
            </w:r>
            <w:hyperlink r:id="rId13" w:history="1">
              <w:r w:rsidR="000C2472">
                <w:rPr>
                  <w:rStyle w:val="Hyperlink"/>
                  <w:rFonts w:ascii="Times New Roman" w:hAnsi="Times New Roman" w:cs="Times New Roman"/>
                  <w:sz w:val="22"/>
                </w:rPr>
                <w:t>mroll</w:t>
              </w:r>
              <w:r w:rsidR="00F45766" w:rsidRPr="00C75F4C">
                <w:rPr>
                  <w:rStyle w:val="Hyperlink"/>
                  <w:rFonts w:ascii="Times New Roman" w:hAnsi="Times New Roman" w:cs="Times New Roman"/>
                  <w:sz w:val="22"/>
                </w:rPr>
                <w:t>ings@atlm.edu</w:t>
              </w:r>
            </w:hyperlink>
            <w:r w:rsidR="003D6E62">
              <w:rPr>
                <w:rStyle w:val="Hyperlink"/>
                <w:rFonts w:ascii="Times New Roman" w:hAnsi="Times New Roman" w:cs="Times New Roman"/>
                <w:sz w:val="22"/>
              </w:rPr>
              <w:t xml:space="preserve"> | </w:t>
            </w:r>
            <w:r w:rsidR="000C2472">
              <w:rPr>
                <w:rStyle w:val="Hyperlink"/>
                <w:rFonts w:ascii="Times New Roman" w:hAnsi="Times New Roman" w:cs="Times New Roman"/>
                <w:sz w:val="22"/>
              </w:rPr>
              <w:t>efrancois@atlm.edu</w:t>
            </w:r>
          </w:p>
        </w:tc>
      </w:tr>
      <w:tr w:rsidR="00BA0585" w:rsidRPr="00706AFD" w14:paraId="39EAFDCE" w14:textId="77777777" w:rsidTr="005C7C01">
        <w:tc>
          <w:tcPr>
            <w:tcW w:w="1890" w:type="dxa"/>
            <w:gridSpan w:val="2"/>
          </w:tcPr>
          <w:p w14:paraId="79C293D5" w14:textId="77777777" w:rsidR="00BA0585" w:rsidRPr="00706AFD" w:rsidRDefault="00BA0585" w:rsidP="005F01B2">
            <w:pPr>
              <w:rPr>
                <w:rFonts w:ascii="Times New Roman" w:hAnsi="Times New Roman" w:cs="Times New Roman"/>
                <w:b/>
                <w:sz w:val="22"/>
              </w:rPr>
            </w:pPr>
            <w:r w:rsidRPr="00706AFD">
              <w:rPr>
                <w:rFonts w:ascii="Times New Roman" w:hAnsi="Times New Roman" w:cs="Times New Roman"/>
                <w:b/>
                <w:sz w:val="22"/>
              </w:rPr>
              <w:t>Summary of Activities</w:t>
            </w:r>
          </w:p>
        </w:tc>
        <w:tc>
          <w:tcPr>
            <w:tcW w:w="9630" w:type="dxa"/>
          </w:tcPr>
          <w:p w14:paraId="57C383F9" w14:textId="3D2A7867" w:rsidR="00BA0585" w:rsidRDefault="00FA1931" w:rsidP="005F01B2">
            <w:pPr>
              <w:contextualSpacing/>
              <w:rPr>
                <w:rFonts w:ascii="Times New Roman" w:hAnsi="Times New Roman" w:cs="Times New Roman"/>
                <w:sz w:val="22"/>
              </w:rPr>
            </w:pPr>
            <w:r>
              <w:rPr>
                <w:rFonts w:ascii="Times New Roman" w:hAnsi="Times New Roman" w:cs="Times New Roman"/>
                <w:sz w:val="22"/>
              </w:rPr>
              <w:t>Multiple activities and strategies are targeted for continuing</w:t>
            </w:r>
            <w:r w:rsidR="00C223E7">
              <w:rPr>
                <w:rFonts w:ascii="Times New Roman" w:hAnsi="Times New Roman" w:cs="Times New Roman"/>
                <w:sz w:val="22"/>
              </w:rPr>
              <w:t>/returning, and full-time</w:t>
            </w:r>
            <w:r>
              <w:rPr>
                <w:rFonts w:ascii="Times New Roman" w:hAnsi="Times New Roman" w:cs="Times New Roman"/>
                <w:sz w:val="22"/>
              </w:rPr>
              <w:t xml:space="preserve"> first-time students. </w:t>
            </w:r>
            <w:r w:rsidR="00F45766">
              <w:rPr>
                <w:rFonts w:ascii="Times New Roman" w:hAnsi="Times New Roman" w:cs="Times New Roman"/>
                <w:sz w:val="22"/>
              </w:rPr>
              <w:t xml:space="preserve">Pre-registration of </w:t>
            </w:r>
            <w:r>
              <w:rPr>
                <w:rFonts w:ascii="Times New Roman" w:hAnsi="Times New Roman" w:cs="Times New Roman"/>
                <w:sz w:val="22"/>
              </w:rPr>
              <w:t xml:space="preserve">continuing/returning </w:t>
            </w:r>
            <w:r w:rsidR="00F45766">
              <w:rPr>
                <w:rFonts w:ascii="Times New Roman" w:hAnsi="Times New Roman" w:cs="Times New Roman"/>
                <w:sz w:val="22"/>
              </w:rPr>
              <w:t>students is</w:t>
            </w:r>
            <w:r w:rsidR="00C37543">
              <w:rPr>
                <w:rFonts w:ascii="Times New Roman" w:hAnsi="Times New Roman" w:cs="Times New Roman"/>
                <w:sz w:val="22"/>
              </w:rPr>
              <w:t xml:space="preserve"> a broad-based </w:t>
            </w:r>
            <w:r w:rsidR="00F45766">
              <w:rPr>
                <w:rFonts w:ascii="Times New Roman" w:hAnsi="Times New Roman" w:cs="Times New Roman"/>
                <w:sz w:val="22"/>
              </w:rPr>
              <w:t>institutional effort</w:t>
            </w:r>
            <w:r>
              <w:rPr>
                <w:rFonts w:ascii="Times New Roman" w:hAnsi="Times New Roman" w:cs="Times New Roman"/>
                <w:sz w:val="22"/>
              </w:rPr>
              <w:t>, and a proven effective retention strategy,</w:t>
            </w:r>
            <w:r w:rsidR="00F45766">
              <w:rPr>
                <w:rFonts w:ascii="Times New Roman" w:hAnsi="Times New Roman" w:cs="Times New Roman"/>
                <w:sz w:val="22"/>
              </w:rPr>
              <w:t xml:space="preserve"> that involves multiple d</w:t>
            </w:r>
            <w:r w:rsidR="00926FEE">
              <w:rPr>
                <w:rFonts w:ascii="Times New Roman" w:hAnsi="Times New Roman" w:cs="Times New Roman"/>
                <w:sz w:val="22"/>
              </w:rPr>
              <w:t>epartments and</w:t>
            </w:r>
            <w:r w:rsidR="00DF24C5">
              <w:rPr>
                <w:rFonts w:ascii="Times New Roman" w:hAnsi="Times New Roman" w:cs="Times New Roman"/>
                <w:sz w:val="22"/>
              </w:rPr>
              <w:t xml:space="preserve"> unit</w:t>
            </w:r>
            <w:r w:rsidR="00C223E7">
              <w:rPr>
                <w:rFonts w:ascii="Times New Roman" w:hAnsi="Times New Roman" w:cs="Times New Roman"/>
                <w:sz w:val="22"/>
              </w:rPr>
              <w:t>s. These</w:t>
            </w:r>
            <w:r>
              <w:rPr>
                <w:rFonts w:ascii="Times New Roman" w:hAnsi="Times New Roman" w:cs="Times New Roman"/>
                <w:sz w:val="22"/>
              </w:rPr>
              <w:t xml:space="preserve"> activities</w:t>
            </w:r>
            <w:r w:rsidR="00926FEE">
              <w:rPr>
                <w:rFonts w:ascii="Times New Roman" w:hAnsi="Times New Roman" w:cs="Times New Roman"/>
                <w:sz w:val="22"/>
              </w:rPr>
              <w:t xml:space="preserve"> include:</w:t>
            </w:r>
          </w:p>
          <w:p w14:paraId="15BBFE9C" w14:textId="77777777" w:rsidR="00DF24C5" w:rsidRDefault="00DF24C5" w:rsidP="005F01B2">
            <w:pPr>
              <w:contextualSpacing/>
              <w:rPr>
                <w:rFonts w:ascii="Times New Roman" w:hAnsi="Times New Roman" w:cs="Times New Roman"/>
                <w:sz w:val="22"/>
              </w:rPr>
            </w:pPr>
          </w:p>
          <w:p w14:paraId="73F683B5" w14:textId="450795B1" w:rsidR="00C37543" w:rsidRDefault="003A635F" w:rsidP="0072430B">
            <w:pPr>
              <w:contextualSpacing/>
              <w:jc w:val="both"/>
              <w:rPr>
                <w:rFonts w:ascii="Times New Roman" w:hAnsi="Times New Roman" w:cs="Times New Roman"/>
                <w:sz w:val="22"/>
              </w:rPr>
            </w:pPr>
            <w:r>
              <w:rPr>
                <w:rFonts w:ascii="Times New Roman" w:hAnsi="Times New Roman" w:cs="Times New Roman"/>
                <w:sz w:val="22"/>
              </w:rPr>
              <w:t>(1)</w:t>
            </w:r>
            <w:r w:rsidR="001B6350">
              <w:rPr>
                <w:rFonts w:ascii="Times New Roman" w:hAnsi="Times New Roman" w:cs="Times New Roman"/>
                <w:sz w:val="22"/>
              </w:rPr>
              <w:t xml:space="preserve"> providing</w:t>
            </w:r>
            <w:r>
              <w:rPr>
                <w:rFonts w:ascii="Times New Roman" w:hAnsi="Times New Roman" w:cs="Times New Roman"/>
                <w:sz w:val="22"/>
              </w:rPr>
              <w:t xml:space="preserve"> intensive </w:t>
            </w:r>
            <w:r w:rsidR="00926FEE">
              <w:rPr>
                <w:rFonts w:ascii="Times New Roman" w:hAnsi="Times New Roman" w:cs="Times New Roman"/>
                <w:sz w:val="22"/>
              </w:rPr>
              <w:t xml:space="preserve">advertising of pre-registration across multiple media methods: website, email, </w:t>
            </w:r>
            <w:r w:rsidR="001B6350">
              <w:rPr>
                <w:rFonts w:ascii="Times New Roman" w:hAnsi="Times New Roman" w:cs="Times New Roman"/>
                <w:sz w:val="22"/>
              </w:rPr>
              <w:t xml:space="preserve">text, </w:t>
            </w:r>
            <w:r w:rsidR="00C223E7">
              <w:rPr>
                <w:rFonts w:ascii="Times New Roman" w:hAnsi="Times New Roman" w:cs="Times New Roman"/>
                <w:sz w:val="22"/>
              </w:rPr>
              <w:t xml:space="preserve">on </w:t>
            </w:r>
            <w:r w:rsidR="00926FEE">
              <w:rPr>
                <w:rFonts w:ascii="Times New Roman" w:hAnsi="Times New Roman" w:cs="Times New Roman"/>
                <w:sz w:val="22"/>
              </w:rPr>
              <w:t>campus “Did you regi</w:t>
            </w:r>
            <w:r w:rsidR="001B6350">
              <w:rPr>
                <w:rFonts w:ascii="Times New Roman" w:hAnsi="Times New Roman" w:cs="Times New Roman"/>
                <w:sz w:val="22"/>
              </w:rPr>
              <w:t>ster?” campaigns,</w:t>
            </w:r>
          </w:p>
          <w:p w14:paraId="586E91CD" w14:textId="3DCD8652" w:rsidR="00926FEE" w:rsidRDefault="00FA1931" w:rsidP="0072430B">
            <w:pPr>
              <w:contextualSpacing/>
              <w:jc w:val="both"/>
              <w:rPr>
                <w:rFonts w:ascii="Times New Roman" w:hAnsi="Times New Roman" w:cs="Times New Roman"/>
                <w:sz w:val="22"/>
              </w:rPr>
            </w:pPr>
            <w:r>
              <w:rPr>
                <w:rFonts w:ascii="Times New Roman" w:hAnsi="Times New Roman" w:cs="Times New Roman"/>
                <w:sz w:val="22"/>
              </w:rPr>
              <w:t xml:space="preserve">(2) </w:t>
            </w:r>
            <w:r w:rsidR="001B6350">
              <w:rPr>
                <w:rFonts w:ascii="Times New Roman" w:hAnsi="Times New Roman" w:cs="Times New Roman"/>
                <w:sz w:val="22"/>
              </w:rPr>
              <w:t xml:space="preserve">implementing </w:t>
            </w:r>
            <w:r w:rsidR="003A635F">
              <w:rPr>
                <w:rFonts w:ascii="Times New Roman" w:hAnsi="Times New Roman" w:cs="Times New Roman"/>
                <w:sz w:val="22"/>
              </w:rPr>
              <w:t>careful monitoring</w:t>
            </w:r>
            <w:r w:rsidR="001B6350">
              <w:rPr>
                <w:rFonts w:ascii="Times New Roman" w:hAnsi="Times New Roman" w:cs="Times New Roman"/>
                <w:sz w:val="22"/>
              </w:rPr>
              <w:t xml:space="preserve"> of student </w:t>
            </w:r>
            <w:r w:rsidR="00C223E7">
              <w:rPr>
                <w:rFonts w:ascii="Times New Roman" w:hAnsi="Times New Roman" w:cs="Times New Roman"/>
                <w:sz w:val="22"/>
              </w:rPr>
              <w:t>pre-registration completion</w:t>
            </w:r>
            <w:r w:rsidR="00C37543">
              <w:rPr>
                <w:rFonts w:ascii="Times New Roman" w:hAnsi="Times New Roman" w:cs="Times New Roman"/>
                <w:sz w:val="22"/>
              </w:rPr>
              <w:t xml:space="preserve"> </w:t>
            </w:r>
            <w:r w:rsidR="00C223E7">
              <w:rPr>
                <w:rFonts w:ascii="Times New Roman" w:hAnsi="Times New Roman" w:cs="Times New Roman"/>
                <w:sz w:val="22"/>
              </w:rPr>
              <w:t xml:space="preserve">and </w:t>
            </w:r>
            <w:r w:rsidR="003A635F">
              <w:rPr>
                <w:rFonts w:ascii="Times New Roman" w:hAnsi="Times New Roman" w:cs="Times New Roman"/>
                <w:sz w:val="22"/>
              </w:rPr>
              <w:t xml:space="preserve">course </w:t>
            </w:r>
            <w:r w:rsidR="00C223E7">
              <w:rPr>
                <w:rFonts w:ascii="Times New Roman" w:hAnsi="Times New Roman" w:cs="Times New Roman"/>
                <w:sz w:val="22"/>
              </w:rPr>
              <w:t xml:space="preserve">selection </w:t>
            </w:r>
            <w:r>
              <w:rPr>
                <w:rFonts w:ascii="Times New Roman" w:hAnsi="Times New Roman" w:cs="Times New Roman"/>
                <w:sz w:val="22"/>
              </w:rPr>
              <w:t xml:space="preserve">inventories </w:t>
            </w:r>
            <w:r w:rsidR="00C223E7">
              <w:rPr>
                <w:rFonts w:ascii="Times New Roman" w:hAnsi="Times New Roman" w:cs="Times New Roman"/>
                <w:sz w:val="22"/>
              </w:rPr>
              <w:t xml:space="preserve">by faculty advisors </w:t>
            </w:r>
            <w:r>
              <w:rPr>
                <w:rFonts w:ascii="Times New Roman" w:hAnsi="Times New Roman" w:cs="Times New Roman"/>
                <w:sz w:val="22"/>
              </w:rPr>
              <w:t>to track</w:t>
            </w:r>
            <w:r w:rsidR="003A635F">
              <w:rPr>
                <w:rFonts w:ascii="Times New Roman" w:hAnsi="Times New Roman" w:cs="Times New Roman"/>
                <w:sz w:val="22"/>
              </w:rPr>
              <w:t xml:space="preserve"> advisee pre-registration </w:t>
            </w:r>
            <w:r w:rsidR="00EA30C4">
              <w:rPr>
                <w:rFonts w:ascii="Times New Roman" w:hAnsi="Times New Roman" w:cs="Times New Roman"/>
                <w:sz w:val="22"/>
              </w:rPr>
              <w:t>progress; as</w:t>
            </w:r>
            <w:r w:rsidR="001B6350">
              <w:rPr>
                <w:rFonts w:ascii="Times New Roman" w:hAnsi="Times New Roman" w:cs="Times New Roman"/>
                <w:sz w:val="22"/>
              </w:rPr>
              <w:t xml:space="preserve"> well as </w:t>
            </w:r>
            <w:r w:rsidR="00926FEE">
              <w:rPr>
                <w:rFonts w:ascii="Times New Roman" w:hAnsi="Times New Roman" w:cs="Times New Roman"/>
                <w:sz w:val="22"/>
              </w:rPr>
              <w:t>faculty advisors contact</w:t>
            </w:r>
            <w:r w:rsidR="00C37543">
              <w:rPr>
                <w:rFonts w:ascii="Times New Roman" w:hAnsi="Times New Roman" w:cs="Times New Roman"/>
                <w:sz w:val="22"/>
              </w:rPr>
              <w:t>ing</w:t>
            </w:r>
            <w:r w:rsidR="001B6350">
              <w:rPr>
                <w:rFonts w:ascii="Times New Roman" w:hAnsi="Times New Roman" w:cs="Times New Roman"/>
                <w:sz w:val="22"/>
              </w:rPr>
              <w:t xml:space="preserve"> students who did</w:t>
            </w:r>
            <w:r w:rsidR="00926FEE">
              <w:rPr>
                <w:rFonts w:ascii="Times New Roman" w:hAnsi="Times New Roman" w:cs="Times New Roman"/>
                <w:sz w:val="22"/>
              </w:rPr>
              <w:t xml:space="preserve"> not </w:t>
            </w:r>
            <w:r w:rsidR="001B6350">
              <w:rPr>
                <w:rFonts w:ascii="Times New Roman" w:hAnsi="Times New Roman" w:cs="Times New Roman"/>
                <w:sz w:val="22"/>
              </w:rPr>
              <w:t>pre-</w:t>
            </w:r>
            <w:r w:rsidR="00926FEE">
              <w:rPr>
                <w:rFonts w:ascii="Times New Roman" w:hAnsi="Times New Roman" w:cs="Times New Roman"/>
                <w:sz w:val="22"/>
              </w:rPr>
              <w:t>register</w:t>
            </w:r>
            <w:r w:rsidR="003A635F">
              <w:rPr>
                <w:rFonts w:ascii="Times New Roman" w:hAnsi="Times New Roman" w:cs="Times New Roman"/>
                <w:sz w:val="22"/>
              </w:rPr>
              <w:t xml:space="preserve">, answering </w:t>
            </w:r>
            <w:r w:rsidR="001B6350">
              <w:rPr>
                <w:rFonts w:ascii="Times New Roman" w:hAnsi="Times New Roman" w:cs="Times New Roman"/>
                <w:sz w:val="22"/>
              </w:rPr>
              <w:t xml:space="preserve">their </w:t>
            </w:r>
            <w:r w:rsidR="00926FEE">
              <w:rPr>
                <w:rFonts w:ascii="Times New Roman" w:hAnsi="Times New Roman" w:cs="Times New Roman"/>
                <w:sz w:val="22"/>
              </w:rPr>
              <w:t>questions</w:t>
            </w:r>
            <w:r w:rsidR="003A635F">
              <w:rPr>
                <w:rFonts w:ascii="Times New Roman" w:hAnsi="Times New Roman" w:cs="Times New Roman"/>
                <w:sz w:val="22"/>
              </w:rPr>
              <w:t xml:space="preserve">, and removing </w:t>
            </w:r>
            <w:r w:rsidR="001B6350">
              <w:rPr>
                <w:rFonts w:ascii="Times New Roman" w:hAnsi="Times New Roman" w:cs="Times New Roman"/>
                <w:sz w:val="22"/>
              </w:rPr>
              <w:t>pre-registration barriers,</w:t>
            </w:r>
          </w:p>
          <w:p w14:paraId="3F0EC138" w14:textId="5B3BAADC" w:rsidR="008A5971" w:rsidRDefault="003A635F" w:rsidP="0072430B">
            <w:pPr>
              <w:contextualSpacing/>
              <w:jc w:val="both"/>
              <w:rPr>
                <w:rFonts w:ascii="Times New Roman" w:hAnsi="Times New Roman" w:cs="Times New Roman"/>
                <w:sz w:val="22"/>
              </w:rPr>
            </w:pPr>
            <w:r>
              <w:rPr>
                <w:rFonts w:ascii="Times New Roman" w:hAnsi="Times New Roman" w:cs="Times New Roman"/>
                <w:sz w:val="22"/>
              </w:rPr>
              <w:t>(3) ensuring appropriate</w:t>
            </w:r>
            <w:r w:rsidR="00C37543">
              <w:rPr>
                <w:rFonts w:ascii="Times New Roman" w:hAnsi="Times New Roman" w:cs="Times New Roman"/>
                <w:sz w:val="22"/>
              </w:rPr>
              <w:t xml:space="preserve"> re</w:t>
            </w:r>
            <w:r>
              <w:rPr>
                <w:rFonts w:ascii="Times New Roman" w:hAnsi="Times New Roman" w:cs="Times New Roman"/>
                <w:sz w:val="22"/>
              </w:rPr>
              <w:t xml:space="preserve">gistration opportunities </w:t>
            </w:r>
            <w:r w:rsidR="001B6350">
              <w:rPr>
                <w:rFonts w:ascii="Times New Roman" w:hAnsi="Times New Roman" w:cs="Times New Roman"/>
                <w:sz w:val="22"/>
              </w:rPr>
              <w:t>and</w:t>
            </w:r>
            <w:r w:rsidR="00C37543">
              <w:rPr>
                <w:rFonts w:ascii="Times New Roman" w:hAnsi="Times New Roman" w:cs="Times New Roman"/>
                <w:sz w:val="22"/>
              </w:rPr>
              <w:t xml:space="preserve"> sites</w:t>
            </w:r>
            <w:r w:rsidR="00825847">
              <w:rPr>
                <w:rFonts w:ascii="Times New Roman" w:hAnsi="Times New Roman" w:cs="Times New Roman"/>
                <w:sz w:val="22"/>
              </w:rPr>
              <w:t xml:space="preserve">, with </w:t>
            </w:r>
            <w:r>
              <w:rPr>
                <w:rFonts w:ascii="Times New Roman" w:hAnsi="Times New Roman" w:cs="Times New Roman"/>
                <w:sz w:val="22"/>
              </w:rPr>
              <w:t xml:space="preserve">adequate </w:t>
            </w:r>
            <w:r w:rsidR="00825847">
              <w:rPr>
                <w:rFonts w:ascii="Times New Roman" w:hAnsi="Times New Roman" w:cs="Times New Roman"/>
                <w:sz w:val="22"/>
              </w:rPr>
              <w:t>support staff</w:t>
            </w:r>
            <w:r w:rsidR="008442FD">
              <w:rPr>
                <w:rFonts w:ascii="Times New Roman" w:hAnsi="Times New Roman" w:cs="Times New Roman"/>
                <w:sz w:val="22"/>
              </w:rPr>
              <w:t xml:space="preserve"> at dedicated times</w:t>
            </w:r>
            <w:r w:rsidR="00825847">
              <w:rPr>
                <w:rFonts w:ascii="Times New Roman" w:hAnsi="Times New Roman" w:cs="Times New Roman"/>
                <w:sz w:val="22"/>
              </w:rPr>
              <w:t>,</w:t>
            </w:r>
            <w:r w:rsidR="00C37543">
              <w:rPr>
                <w:rFonts w:ascii="Times New Roman" w:hAnsi="Times New Roman" w:cs="Times New Roman"/>
                <w:sz w:val="22"/>
              </w:rPr>
              <w:t xml:space="preserve"> </w:t>
            </w:r>
            <w:r w:rsidR="00926FEE">
              <w:rPr>
                <w:rFonts w:ascii="Times New Roman" w:hAnsi="Times New Roman" w:cs="Times New Roman"/>
                <w:sz w:val="22"/>
              </w:rPr>
              <w:t xml:space="preserve">including day, evening and weekend </w:t>
            </w:r>
            <w:r w:rsidR="00825847">
              <w:rPr>
                <w:rFonts w:ascii="Times New Roman" w:hAnsi="Times New Roman" w:cs="Times New Roman"/>
                <w:sz w:val="22"/>
              </w:rPr>
              <w:t>hours</w:t>
            </w:r>
            <w:r w:rsidR="001B6350">
              <w:rPr>
                <w:rFonts w:ascii="Times New Roman" w:hAnsi="Times New Roman" w:cs="Times New Roman"/>
                <w:sz w:val="22"/>
              </w:rPr>
              <w:t>, for traditional students and adult learners,</w:t>
            </w:r>
            <w:r w:rsidR="00926FEE">
              <w:rPr>
                <w:rFonts w:ascii="Times New Roman" w:hAnsi="Times New Roman" w:cs="Times New Roman"/>
                <w:sz w:val="22"/>
              </w:rPr>
              <w:t xml:space="preserve"> </w:t>
            </w:r>
          </w:p>
          <w:p w14:paraId="1DDEBDCC" w14:textId="630F0860" w:rsidR="008A5971" w:rsidRDefault="003A635F" w:rsidP="0072430B">
            <w:pPr>
              <w:contextualSpacing/>
              <w:jc w:val="both"/>
              <w:rPr>
                <w:rFonts w:ascii="Times New Roman" w:hAnsi="Times New Roman" w:cs="Times New Roman"/>
                <w:sz w:val="22"/>
              </w:rPr>
            </w:pPr>
            <w:r>
              <w:rPr>
                <w:rFonts w:ascii="Times New Roman" w:hAnsi="Times New Roman" w:cs="Times New Roman"/>
                <w:sz w:val="22"/>
              </w:rPr>
              <w:t xml:space="preserve">(4) </w:t>
            </w:r>
            <w:r w:rsidR="001B6350">
              <w:rPr>
                <w:rFonts w:ascii="Times New Roman" w:hAnsi="Times New Roman" w:cs="Times New Roman"/>
                <w:sz w:val="22"/>
              </w:rPr>
              <w:t>providing GAP Funding – the</w:t>
            </w:r>
            <w:r w:rsidR="00C37543">
              <w:rPr>
                <w:rFonts w:ascii="Times New Roman" w:hAnsi="Times New Roman" w:cs="Times New Roman"/>
                <w:sz w:val="22"/>
              </w:rPr>
              <w:t xml:space="preserve"> College </w:t>
            </w:r>
            <w:r w:rsidR="008A5971">
              <w:rPr>
                <w:rFonts w:ascii="Times New Roman" w:hAnsi="Times New Roman" w:cs="Times New Roman"/>
                <w:sz w:val="22"/>
              </w:rPr>
              <w:t>provide</w:t>
            </w:r>
            <w:r w:rsidR="001B6350">
              <w:rPr>
                <w:rFonts w:ascii="Times New Roman" w:hAnsi="Times New Roman" w:cs="Times New Roman"/>
                <w:sz w:val="22"/>
              </w:rPr>
              <w:t>s</w:t>
            </w:r>
            <w:r w:rsidR="00A818F1">
              <w:rPr>
                <w:rFonts w:ascii="Times New Roman" w:hAnsi="Times New Roman" w:cs="Times New Roman"/>
                <w:sz w:val="22"/>
              </w:rPr>
              <w:t xml:space="preserve"> </w:t>
            </w:r>
            <w:r w:rsidR="008A5971">
              <w:rPr>
                <w:rFonts w:ascii="Times New Roman" w:hAnsi="Times New Roman" w:cs="Times New Roman"/>
                <w:sz w:val="22"/>
              </w:rPr>
              <w:t>funding of small dollar amounts (up to $500) for students who demonstrate great promise, bu</w:t>
            </w:r>
            <w:r w:rsidR="001B6350">
              <w:rPr>
                <w:rFonts w:ascii="Times New Roman" w:hAnsi="Times New Roman" w:cs="Times New Roman"/>
                <w:sz w:val="22"/>
              </w:rPr>
              <w:t xml:space="preserve">t whose </w:t>
            </w:r>
            <w:r w:rsidR="00A818F1">
              <w:rPr>
                <w:rFonts w:ascii="Times New Roman" w:hAnsi="Times New Roman" w:cs="Times New Roman"/>
                <w:sz w:val="22"/>
              </w:rPr>
              <w:t xml:space="preserve">financial </w:t>
            </w:r>
            <w:r w:rsidR="001B6350">
              <w:rPr>
                <w:rFonts w:ascii="Times New Roman" w:hAnsi="Times New Roman" w:cs="Times New Roman"/>
                <w:sz w:val="22"/>
              </w:rPr>
              <w:t>needs prohibit</w:t>
            </w:r>
            <w:r w:rsidR="008A5971">
              <w:rPr>
                <w:rFonts w:ascii="Times New Roman" w:hAnsi="Times New Roman" w:cs="Times New Roman"/>
                <w:sz w:val="22"/>
              </w:rPr>
              <w:t xml:space="preserve"> them from registering and completing their degree. </w:t>
            </w:r>
            <w:r w:rsidR="001B6350">
              <w:rPr>
                <w:rFonts w:ascii="Times New Roman" w:hAnsi="Times New Roman" w:cs="Times New Roman"/>
                <w:sz w:val="22"/>
              </w:rPr>
              <w:t>This</w:t>
            </w:r>
            <w:r w:rsidR="00A818F1">
              <w:rPr>
                <w:rFonts w:ascii="Times New Roman" w:hAnsi="Times New Roman" w:cs="Times New Roman"/>
                <w:sz w:val="22"/>
              </w:rPr>
              <w:t xml:space="preserve"> support will be incre</w:t>
            </w:r>
            <w:r w:rsidR="001B6350">
              <w:rPr>
                <w:rFonts w:ascii="Times New Roman" w:hAnsi="Times New Roman" w:cs="Times New Roman"/>
                <w:sz w:val="22"/>
              </w:rPr>
              <w:t>ased for the FY2018 school year.</w:t>
            </w:r>
          </w:p>
          <w:p w14:paraId="6D643FA8" w14:textId="460BE360" w:rsidR="00BA0585" w:rsidRPr="00706AFD" w:rsidRDefault="003A635F" w:rsidP="0072430B">
            <w:pPr>
              <w:contextualSpacing/>
              <w:jc w:val="both"/>
              <w:rPr>
                <w:rFonts w:ascii="Times New Roman" w:hAnsi="Times New Roman" w:cs="Times New Roman"/>
                <w:sz w:val="22"/>
              </w:rPr>
            </w:pPr>
            <w:r>
              <w:rPr>
                <w:rFonts w:ascii="Times New Roman" w:hAnsi="Times New Roman" w:cs="Times New Roman"/>
                <w:sz w:val="22"/>
              </w:rPr>
              <w:t xml:space="preserve">(5) </w:t>
            </w:r>
            <w:r w:rsidR="001B6350">
              <w:rPr>
                <w:rFonts w:ascii="Times New Roman" w:hAnsi="Times New Roman" w:cs="Times New Roman"/>
                <w:sz w:val="22"/>
              </w:rPr>
              <w:t xml:space="preserve">providing </w:t>
            </w:r>
            <w:r w:rsidR="008A5971">
              <w:rPr>
                <w:rFonts w:ascii="Times New Roman" w:hAnsi="Times New Roman" w:cs="Times New Roman"/>
                <w:sz w:val="22"/>
              </w:rPr>
              <w:t xml:space="preserve">Emergency Funding – </w:t>
            </w:r>
            <w:r w:rsidR="00A818F1">
              <w:rPr>
                <w:rFonts w:ascii="Times New Roman" w:hAnsi="Times New Roman" w:cs="Times New Roman"/>
                <w:sz w:val="22"/>
              </w:rPr>
              <w:t>Beginning fall 2017, s</w:t>
            </w:r>
            <w:r w:rsidR="008A5971">
              <w:rPr>
                <w:rFonts w:ascii="Times New Roman" w:hAnsi="Times New Roman" w:cs="Times New Roman"/>
                <w:sz w:val="22"/>
              </w:rPr>
              <w:t>tudents</w:t>
            </w:r>
            <w:r w:rsidR="00A818F1">
              <w:rPr>
                <w:rFonts w:ascii="Times New Roman" w:hAnsi="Times New Roman" w:cs="Times New Roman"/>
                <w:sz w:val="22"/>
              </w:rPr>
              <w:t xml:space="preserve"> who demonstrate </w:t>
            </w:r>
            <w:r w:rsidR="008A5971">
              <w:rPr>
                <w:rFonts w:ascii="Times New Roman" w:hAnsi="Times New Roman" w:cs="Times New Roman"/>
                <w:sz w:val="22"/>
              </w:rPr>
              <w:t>emergency</w:t>
            </w:r>
            <w:r w:rsidR="00A818F1">
              <w:rPr>
                <w:rFonts w:ascii="Times New Roman" w:hAnsi="Times New Roman" w:cs="Times New Roman"/>
                <w:sz w:val="22"/>
              </w:rPr>
              <w:t xml:space="preserve"> need may receive </w:t>
            </w:r>
            <w:r w:rsidR="008A5971">
              <w:rPr>
                <w:rFonts w:ascii="Times New Roman" w:hAnsi="Times New Roman" w:cs="Times New Roman"/>
                <w:sz w:val="22"/>
              </w:rPr>
              <w:t xml:space="preserve">funding </w:t>
            </w:r>
            <w:r w:rsidR="00A818F1">
              <w:rPr>
                <w:rFonts w:ascii="Times New Roman" w:hAnsi="Times New Roman" w:cs="Times New Roman"/>
                <w:sz w:val="22"/>
              </w:rPr>
              <w:t>support</w:t>
            </w:r>
            <w:r w:rsidR="008A5971">
              <w:rPr>
                <w:rFonts w:ascii="Times New Roman" w:hAnsi="Times New Roman" w:cs="Times New Roman"/>
                <w:sz w:val="22"/>
              </w:rPr>
              <w:t xml:space="preserve"> for unexpected emergencies that pro</w:t>
            </w:r>
            <w:r w:rsidR="00A818F1">
              <w:rPr>
                <w:rFonts w:ascii="Times New Roman" w:hAnsi="Times New Roman" w:cs="Times New Roman"/>
                <w:sz w:val="22"/>
              </w:rPr>
              <w:t>hibit them from registerin</w:t>
            </w:r>
            <w:r w:rsidR="001B6350">
              <w:rPr>
                <w:rFonts w:ascii="Times New Roman" w:hAnsi="Times New Roman" w:cs="Times New Roman"/>
                <w:sz w:val="22"/>
              </w:rPr>
              <w:t>g for and attending classes</w:t>
            </w:r>
            <w:r w:rsidR="008A5971">
              <w:rPr>
                <w:rFonts w:ascii="Times New Roman" w:hAnsi="Times New Roman" w:cs="Times New Roman"/>
                <w:sz w:val="22"/>
              </w:rPr>
              <w:t xml:space="preserve">.  These </w:t>
            </w:r>
            <w:r w:rsidR="001B6350">
              <w:rPr>
                <w:rFonts w:ascii="Times New Roman" w:hAnsi="Times New Roman" w:cs="Times New Roman"/>
                <w:sz w:val="22"/>
              </w:rPr>
              <w:t xml:space="preserve">emergency </w:t>
            </w:r>
            <w:r w:rsidR="008A5971">
              <w:rPr>
                <w:rFonts w:ascii="Times New Roman" w:hAnsi="Times New Roman" w:cs="Times New Roman"/>
                <w:sz w:val="22"/>
              </w:rPr>
              <w:t>funds</w:t>
            </w:r>
            <w:r w:rsidR="007D3035">
              <w:rPr>
                <w:rFonts w:ascii="Times New Roman" w:hAnsi="Times New Roman" w:cs="Times New Roman"/>
                <w:sz w:val="22"/>
              </w:rPr>
              <w:t>,</w:t>
            </w:r>
            <w:r w:rsidR="001B6350">
              <w:rPr>
                <w:rFonts w:ascii="Times New Roman" w:hAnsi="Times New Roman" w:cs="Times New Roman"/>
                <w:sz w:val="22"/>
              </w:rPr>
              <w:t xml:space="preserve"> granted once per year per</w:t>
            </w:r>
            <w:r w:rsidR="008A5971">
              <w:rPr>
                <w:rFonts w:ascii="Times New Roman" w:hAnsi="Times New Roman" w:cs="Times New Roman"/>
                <w:sz w:val="22"/>
              </w:rPr>
              <w:t xml:space="preserve"> student</w:t>
            </w:r>
            <w:r w:rsidR="007D3035">
              <w:rPr>
                <w:rFonts w:ascii="Times New Roman" w:hAnsi="Times New Roman" w:cs="Times New Roman"/>
                <w:sz w:val="22"/>
              </w:rPr>
              <w:t>,</w:t>
            </w:r>
            <w:r w:rsidR="00A818F1">
              <w:rPr>
                <w:rFonts w:ascii="Times New Roman" w:hAnsi="Times New Roman" w:cs="Times New Roman"/>
                <w:sz w:val="22"/>
              </w:rPr>
              <w:t xml:space="preserve"> while funds last,</w:t>
            </w:r>
            <w:r w:rsidR="007D3035">
              <w:rPr>
                <w:rFonts w:ascii="Times New Roman" w:hAnsi="Times New Roman" w:cs="Times New Roman"/>
                <w:sz w:val="22"/>
              </w:rPr>
              <w:t xml:space="preserve"> are designed to provide </w:t>
            </w:r>
            <w:r w:rsidR="00034E93">
              <w:rPr>
                <w:rFonts w:ascii="Times New Roman" w:hAnsi="Times New Roman" w:cs="Times New Roman"/>
                <w:sz w:val="22"/>
              </w:rPr>
              <w:t xml:space="preserve">financial support to </w:t>
            </w:r>
            <w:r w:rsidR="007D3035">
              <w:rPr>
                <w:rFonts w:ascii="Times New Roman" w:hAnsi="Times New Roman" w:cs="Times New Roman"/>
                <w:sz w:val="22"/>
              </w:rPr>
              <w:t xml:space="preserve">low-income students who otherwise do not have the financial wherewithal to attend and complete college. </w:t>
            </w:r>
          </w:p>
        </w:tc>
      </w:tr>
      <w:tr w:rsidR="00BA0585" w:rsidRPr="00706AFD" w14:paraId="2EED4F2E" w14:textId="77777777" w:rsidTr="005C7C01">
        <w:tc>
          <w:tcPr>
            <w:tcW w:w="11520" w:type="dxa"/>
            <w:gridSpan w:val="3"/>
          </w:tcPr>
          <w:p w14:paraId="0717964A" w14:textId="052402AB" w:rsidR="00BA0585" w:rsidRPr="00706AFD" w:rsidRDefault="00BA0585" w:rsidP="005F01B2">
            <w:pPr>
              <w:rPr>
                <w:rFonts w:ascii="Times New Roman" w:hAnsi="Times New Roman" w:cs="Times New Roman"/>
                <w:i/>
                <w:sz w:val="22"/>
              </w:rPr>
            </w:pPr>
            <w:r w:rsidRPr="00706AFD">
              <w:rPr>
                <w:rFonts w:ascii="Times New Roman" w:hAnsi="Times New Roman" w:cs="Times New Roman"/>
                <w:b/>
                <w:sz w:val="22"/>
              </w:rPr>
              <w:t>Measures of Progress and Success</w:t>
            </w:r>
            <w:r w:rsidRPr="005C1460">
              <w:rPr>
                <w:rFonts w:ascii="Times New Roman" w:hAnsi="Times New Roman" w:cs="Times New Roman"/>
                <w:sz w:val="22"/>
              </w:rPr>
              <w:t xml:space="preserve"> </w:t>
            </w:r>
          </w:p>
        </w:tc>
      </w:tr>
      <w:tr w:rsidR="00BA0585" w:rsidRPr="00706AFD" w14:paraId="414C07D9" w14:textId="77777777" w:rsidTr="005C7C01">
        <w:tc>
          <w:tcPr>
            <w:tcW w:w="1890" w:type="dxa"/>
            <w:gridSpan w:val="2"/>
          </w:tcPr>
          <w:p w14:paraId="61035753" w14:textId="77777777" w:rsidR="00BA0585" w:rsidRPr="00706AFD" w:rsidRDefault="00BA0585" w:rsidP="005F01B2">
            <w:pPr>
              <w:rPr>
                <w:rFonts w:ascii="Times New Roman" w:hAnsi="Times New Roman" w:cs="Times New Roman"/>
                <w:b/>
                <w:sz w:val="22"/>
              </w:rPr>
            </w:pPr>
            <w:r w:rsidRPr="00706AFD">
              <w:rPr>
                <w:rFonts w:ascii="Times New Roman" w:hAnsi="Times New Roman" w:cs="Times New Roman"/>
                <w:b/>
                <w:sz w:val="22"/>
              </w:rPr>
              <w:t>Measure, metric, or data element</w:t>
            </w:r>
          </w:p>
        </w:tc>
        <w:tc>
          <w:tcPr>
            <w:tcW w:w="9630" w:type="dxa"/>
          </w:tcPr>
          <w:p w14:paraId="5839ED28" w14:textId="77777777" w:rsidR="00BA0585" w:rsidRPr="00826489" w:rsidRDefault="00BA0585" w:rsidP="005F01B2">
            <w:pPr>
              <w:contextualSpacing/>
              <w:rPr>
                <w:rFonts w:ascii="Times New Roman" w:hAnsi="Times New Roman" w:cs="Times New Roman"/>
                <w:sz w:val="22"/>
              </w:rPr>
            </w:pPr>
            <w:r>
              <w:rPr>
                <w:rFonts w:ascii="Times New Roman" w:hAnsi="Times New Roman" w:cs="Times New Roman"/>
                <w:sz w:val="22"/>
              </w:rPr>
              <w:t>(Indicated Below)</w:t>
            </w:r>
            <w:r w:rsidRPr="00706AFD">
              <w:rPr>
                <w:rFonts w:ascii="Times New Roman" w:hAnsi="Times New Roman" w:cs="Times New Roman"/>
                <w:sz w:val="22"/>
              </w:rPr>
              <w:t xml:space="preserve"> </w:t>
            </w:r>
          </w:p>
        </w:tc>
      </w:tr>
      <w:tr w:rsidR="00BA0585" w:rsidRPr="00706AFD" w14:paraId="1706F8DD" w14:textId="77777777" w:rsidTr="005C7C01">
        <w:tc>
          <w:tcPr>
            <w:tcW w:w="540" w:type="dxa"/>
            <w:vMerge w:val="restart"/>
          </w:tcPr>
          <w:p w14:paraId="1CD5F463" w14:textId="77777777" w:rsidR="00BA0585" w:rsidRPr="00706AFD" w:rsidRDefault="00BA0585" w:rsidP="005F01B2">
            <w:pPr>
              <w:spacing w:line="360" w:lineRule="auto"/>
              <w:rPr>
                <w:rFonts w:ascii="Times New Roman" w:hAnsi="Times New Roman" w:cs="Times New Roman"/>
                <w:b/>
                <w:sz w:val="22"/>
              </w:rPr>
            </w:pPr>
          </w:p>
        </w:tc>
        <w:tc>
          <w:tcPr>
            <w:tcW w:w="1350" w:type="dxa"/>
          </w:tcPr>
          <w:p w14:paraId="570D4AA9" w14:textId="77777777" w:rsidR="00BA0585" w:rsidRPr="00706AFD" w:rsidRDefault="00BA0585" w:rsidP="005F01B2">
            <w:pPr>
              <w:rPr>
                <w:rFonts w:ascii="Times New Roman" w:hAnsi="Times New Roman" w:cs="Times New Roman"/>
                <w:b/>
                <w:sz w:val="22"/>
              </w:rPr>
            </w:pPr>
            <w:r w:rsidRPr="00706AFD">
              <w:rPr>
                <w:rFonts w:ascii="Times New Roman" w:hAnsi="Times New Roman" w:cs="Times New Roman"/>
                <w:b/>
                <w:sz w:val="22"/>
              </w:rPr>
              <w:t>Baseline measures</w:t>
            </w:r>
          </w:p>
        </w:tc>
        <w:tc>
          <w:tcPr>
            <w:tcW w:w="9630" w:type="dxa"/>
          </w:tcPr>
          <w:p w14:paraId="278648DA" w14:textId="3DE9EFB4" w:rsidR="003A635F" w:rsidRDefault="003A635F" w:rsidP="00FB12CA">
            <w:pPr>
              <w:contextualSpacing/>
              <w:rPr>
                <w:rFonts w:ascii="Times New Roman" w:hAnsi="Times New Roman" w:cs="Times New Roman"/>
                <w:i/>
                <w:color w:val="FF0000"/>
                <w:sz w:val="22"/>
              </w:rPr>
            </w:pPr>
            <w:r>
              <w:rPr>
                <w:rFonts w:ascii="Times New Roman" w:hAnsi="Times New Roman" w:cs="Times New Roman"/>
                <w:i/>
                <w:color w:val="FF0000"/>
                <w:sz w:val="22"/>
              </w:rPr>
              <w:t>Continuing</w:t>
            </w:r>
            <w:r w:rsidR="0072430B">
              <w:rPr>
                <w:rFonts w:ascii="Times New Roman" w:hAnsi="Times New Roman" w:cs="Times New Roman"/>
                <w:i/>
                <w:color w:val="FF0000"/>
                <w:sz w:val="22"/>
              </w:rPr>
              <w:t>/Returning Student Retention Rates</w:t>
            </w:r>
          </w:p>
          <w:p w14:paraId="3F639013" w14:textId="6EAFCEDE" w:rsidR="004D39F8" w:rsidRDefault="004D39F8" w:rsidP="00FB12CA">
            <w:pPr>
              <w:contextualSpacing/>
              <w:rPr>
                <w:rFonts w:ascii="Times New Roman" w:hAnsi="Times New Roman" w:cs="Times New Roman"/>
                <w:i/>
                <w:color w:val="FF0000"/>
                <w:sz w:val="22"/>
              </w:rPr>
            </w:pPr>
            <w:r>
              <w:rPr>
                <w:rFonts w:ascii="Times New Roman" w:hAnsi="Times New Roman" w:cs="Times New Roman"/>
                <w:sz w:val="22"/>
              </w:rPr>
              <w:t>1-Semester Retention</w:t>
            </w:r>
            <w:r w:rsidR="00034E93">
              <w:rPr>
                <w:rFonts w:ascii="Times New Roman" w:hAnsi="Times New Roman" w:cs="Times New Roman"/>
                <w:sz w:val="22"/>
              </w:rPr>
              <w:t xml:space="preserve"> Rate – Continuing/Returning Students: </w:t>
            </w:r>
            <w:r>
              <w:rPr>
                <w:rFonts w:ascii="Times New Roman" w:hAnsi="Times New Roman" w:cs="Times New Roman"/>
                <w:sz w:val="22"/>
              </w:rPr>
              <w:t>52%</w:t>
            </w:r>
            <w:r w:rsidR="00034E93">
              <w:rPr>
                <w:rFonts w:ascii="Times New Roman" w:hAnsi="Times New Roman" w:cs="Times New Roman"/>
                <w:sz w:val="22"/>
              </w:rPr>
              <w:t xml:space="preserve"> </w:t>
            </w:r>
            <w:r w:rsidR="00034E93" w:rsidRPr="00034E93">
              <w:rPr>
                <w:rFonts w:ascii="Times New Roman" w:hAnsi="Times New Roman" w:cs="Times New Roman"/>
                <w:sz w:val="22"/>
              </w:rPr>
              <w:t>(Spring 2016 to Fall 2016)</w:t>
            </w:r>
          </w:p>
          <w:p w14:paraId="0D6FA61E" w14:textId="77777777" w:rsidR="00A94A8D" w:rsidRDefault="004D39F8" w:rsidP="00034E93">
            <w:pPr>
              <w:contextualSpacing/>
              <w:rPr>
                <w:rFonts w:ascii="Times New Roman" w:hAnsi="Times New Roman" w:cs="Times New Roman"/>
                <w:sz w:val="22"/>
              </w:rPr>
            </w:pPr>
            <w:r>
              <w:rPr>
                <w:rFonts w:ascii="Times New Roman" w:hAnsi="Times New Roman" w:cs="Times New Roman"/>
                <w:sz w:val="22"/>
              </w:rPr>
              <w:t>1-Semester Retention Rate</w:t>
            </w:r>
            <w:r w:rsidR="00034E93">
              <w:rPr>
                <w:rFonts w:ascii="Times New Roman" w:hAnsi="Times New Roman" w:cs="Times New Roman"/>
                <w:sz w:val="22"/>
              </w:rPr>
              <w:t xml:space="preserve"> – Continuing/Returning Students:</w:t>
            </w:r>
            <w:r>
              <w:rPr>
                <w:rFonts w:ascii="Times New Roman" w:hAnsi="Times New Roman" w:cs="Times New Roman"/>
                <w:sz w:val="22"/>
              </w:rPr>
              <w:t xml:space="preserve"> 74%</w:t>
            </w:r>
            <w:r w:rsidR="00FB12CA">
              <w:rPr>
                <w:rFonts w:ascii="Times New Roman" w:hAnsi="Times New Roman" w:cs="Times New Roman"/>
                <w:sz w:val="22"/>
              </w:rPr>
              <w:t xml:space="preserve"> </w:t>
            </w:r>
            <w:r w:rsidR="00034E93">
              <w:rPr>
                <w:rFonts w:ascii="Times New Roman" w:hAnsi="Times New Roman" w:cs="Times New Roman"/>
                <w:sz w:val="22"/>
              </w:rPr>
              <w:t>(Fall 2016 to Spring 2017)</w:t>
            </w:r>
          </w:p>
          <w:p w14:paraId="7CD75DAE" w14:textId="77777777" w:rsidR="003A635F" w:rsidRDefault="003A635F" w:rsidP="00034E93">
            <w:pPr>
              <w:contextualSpacing/>
              <w:rPr>
                <w:rFonts w:ascii="Times New Roman" w:hAnsi="Times New Roman" w:cs="Times New Roman"/>
                <w:sz w:val="22"/>
              </w:rPr>
            </w:pPr>
          </w:p>
          <w:p w14:paraId="035E8657" w14:textId="77777777" w:rsidR="003A635F" w:rsidRDefault="003A635F" w:rsidP="00034E93">
            <w:pPr>
              <w:contextualSpacing/>
              <w:rPr>
                <w:rFonts w:ascii="Times New Roman" w:hAnsi="Times New Roman" w:cs="Times New Roman"/>
                <w:i/>
                <w:color w:val="FF0000"/>
                <w:sz w:val="22"/>
              </w:rPr>
            </w:pPr>
            <w:r>
              <w:rPr>
                <w:rFonts w:ascii="Times New Roman" w:hAnsi="Times New Roman" w:cs="Times New Roman"/>
                <w:i/>
                <w:color w:val="FF0000"/>
                <w:sz w:val="22"/>
              </w:rPr>
              <w:t xml:space="preserve">First-time Full-time Student </w:t>
            </w:r>
            <w:r w:rsidR="00165545">
              <w:rPr>
                <w:rFonts w:ascii="Times New Roman" w:hAnsi="Times New Roman" w:cs="Times New Roman"/>
                <w:i/>
                <w:color w:val="FF0000"/>
                <w:sz w:val="22"/>
              </w:rPr>
              <w:t>Retention and Graduation Rates</w:t>
            </w:r>
          </w:p>
          <w:p w14:paraId="7D380E71" w14:textId="13D94768" w:rsidR="00165545" w:rsidRDefault="00165545" w:rsidP="00034E93">
            <w:pPr>
              <w:contextualSpacing/>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Retention Rate (1 Year) </w:t>
            </w:r>
            <w:r w:rsidR="0072430B">
              <w:rPr>
                <w:rFonts w:ascii="Times New Roman" w:hAnsi="Times New Roman" w:cs="Times New Roman"/>
                <w:color w:val="000000" w:themeColor="text1"/>
                <w:sz w:val="22"/>
              </w:rPr>
              <w:t>–</w:t>
            </w:r>
            <w:r w:rsidR="00F300E2">
              <w:rPr>
                <w:rFonts w:ascii="Times New Roman" w:hAnsi="Times New Roman" w:cs="Times New Roman"/>
                <w:color w:val="000000" w:themeColor="text1"/>
                <w:sz w:val="22"/>
              </w:rPr>
              <w:t xml:space="preserve"> </w:t>
            </w:r>
            <w:r w:rsidR="0072430B">
              <w:rPr>
                <w:rFonts w:ascii="Times New Roman" w:hAnsi="Times New Roman" w:cs="Times New Roman"/>
                <w:color w:val="000000" w:themeColor="text1"/>
                <w:sz w:val="22"/>
              </w:rPr>
              <w:t xml:space="preserve">57.3% (Fall 2014 to Fall 2015) </w:t>
            </w:r>
          </w:p>
          <w:p w14:paraId="1B5495E3" w14:textId="78B0E17D" w:rsidR="00165545" w:rsidRPr="00165545" w:rsidRDefault="00165545" w:rsidP="00034E93">
            <w:pPr>
              <w:contextualSpacing/>
              <w:rPr>
                <w:rFonts w:ascii="Times New Roman" w:hAnsi="Times New Roman" w:cs="Times New Roman"/>
                <w:color w:val="000000" w:themeColor="text1"/>
                <w:sz w:val="22"/>
              </w:rPr>
            </w:pPr>
            <w:r>
              <w:rPr>
                <w:rFonts w:ascii="Times New Roman" w:hAnsi="Times New Roman" w:cs="Times New Roman"/>
                <w:color w:val="000000" w:themeColor="text1"/>
                <w:sz w:val="22"/>
              </w:rPr>
              <w:t>Graduation Rate (3-</w:t>
            </w:r>
            <w:r w:rsidR="00EA30C4">
              <w:rPr>
                <w:rFonts w:ascii="Times New Roman" w:hAnsi="Times New Roman" w:cs="Times New Roman"/>
                <w:color w:val="000000" w:themeColor="text1"/>
                <w:sz w:val="22"/>
              </w:rPr>
              <w:t>Year) -</w:t>
            </w:r>
            <w:r>
              <w:rPr>
                <w:rFonts w:ascii="Times New Roman" w:hAnsi="Times New Roman" w:cs="Times New Roman"/>
                <w:color w:val="000000" w:themeColor="text1"/>
                <w:sz w:val="22"/>
              </w:rPr>
              <w:t xml:space="preserve"> </w:t>
            </w:r>
            <w:r w:rsidR="0072430B">
              <w:rPr>
                <w:rFonts w:ascii="Times New Roman" w:hAnsi="Times New Roman" w:cs="Times New Roman"/>
                <w:color w:val="000000" w:themeColor="text1"/>
                <w:sz w:val="22"/>
              </w:rPr>
              <w:t>15.7% (FTFT2013)</w:t>
            </w:r>
          </w:p>
        </w:tc>
      </w:tr>
      <w:tr w:rsidR="00BA0585" w:rsidRPr="00706AFD" w14:paraId="456D657D" w14:textId="77777777" w:rsidTr="005C7C01">
        <w:tc>
          <w:tcPr>
            <w:tcW w:w="540" w:type="dxa"/>
            <w:vMerge/>
          </w:tcPr>
          <w:p w14:paraId="0185F022" w14:textId="5D69BD6A" w:rsidR="00BA0585" w:rsidRPr="00706AFD" w:rsidRDefault="00BA0585" w:rsidP="005F01B2">
            <w:pPr>
              <w:spacing w:line="360" w:lineRule="auto"/>
              <w:rPr>
                <w:rFonts w:ascii="Times New Roman" w:hAnsi="Times New Roman" w:cs="Times New Roman"/>
                <w:b/>
                <w:sz w:val="22"/>
              </w:rPr>
            </w:pPr>
          </w:p>
        </w:tc>
        <w:tc>
          <w:tcPr>
            <w:tcW w:w="1350" w:type="dxa"/>
          </w:tcPr>
          <w:p w14:paraId="0A5A0486" w14:textId="77777777" w:rsidR="00BA0585" w:rsidRPr="00706AFD" w:rsidRDefault="00BA0585" w:rsidP="005F01B2">
            <w:pPr>
              <w:rPr>
                <w:rFonts w:ascii="Times New Roman" w:hAnsi="Times New Roman" w:cs="Times New Roman"/>
                <w:b/>
                <w:sz w:val="22"/>
              </w:rPr>
            </w:pPr>
            <w:r w:rsidRPr="00706AFD">
              <w:rPr>
                <w:rFonts w:ascii="Times New Roman" w:hAnsi="Times New Roman" w:cs="Times New Roman"/>
                <w:b/>
                <w:sz w:val="22"/>
              </w:rPr>
              <w:t>Interim Measures of Progress</w:t>
            </w:r>
          </w:p>
        </w:tc>
        <w:tc>
          <w:tcPr>
            <w:tcW w:w="9630" w:type="dxa"/>
          </w:tcPr>
          <w:p w14:paraId="29F9FE51" w14:textId="2566C879" w:rsidR="0072430B" w:rsidRDefault="0072430B" w:rsidP="0072430B">
            <w:pPr>
              <w:rPr>
                <w:rFonts w:ascii="Times New Roman" w:hAnsi="Times New Roman" w:cs="Times New Roman"/>
                <w:i/>
                <w:color w:val="FF0000"/>
                <w:sz w:val="22"/>
              </w:rPr>
            </w:pPr>
            <w:r>
              <w:rPr>
                <w:rFonts w:ascii="Times New Roman" w:hAnsi="Times New Roman" w:cs="Times New Roman"/>
                <w:i/>
                <w:color w:val="FF0000"/>
                <w:sz w:val="22"/>
              </w:rPr>
              <w:t>Continuing/Returning Student Retention Rates</w:t>
            </w:r>
          </w:p>
          <w:p w14:paraId="3A7B1828" w14:textId="77777777" w:rsidR="00034E93" w:rsidRDefault="00034E93" w:rsidP="007D3035">
            <w:pPr>
              <w:spacing w:line="360" w:lineRule="auto"/>
              <w:rPr>
                <w:rFonts w:ascii="Times New Roman" w:hAnsi="Times New Roman" w:cs="Times New Roman"/>
                <w:color w:val="000000" w:themeColor="text1"/>
                <w:sz w:val="22"/>
              </w:rPr>
            </w:pPr>
            <w:r w:rsidRPr="0072430B">
              <w:rPr>
                <w:rFonts w:ascii="Times New Roman" w:hAnsi="Times New Roman" w:cs="Times New Roman"/>
                <w:color w:val="000000" w:themeColor="text1"/>
                <w:sz w:val="22"/>
              </w:rPr>
              <w:t>Will be reported in the CCG 2017-18 Update</w:t>
            </w:r>
          </w:p>
          <w:p w14:paraId="79ED107A" w14:textId="2CCCDDE6" w:rsidR="0072430B" w:rsidRDefault="0072430B" w:rsidP="0072430B">
            <w:pPr>
              <w:rPr>
                <w:rFonts w:ascii="Times New Roman" w:hAnsi="Times New Roman" w:cs="Times New Roman"/>
                <w:i/>
                <w:color w:val="FF0000"/>
                <w:sz w:val="22"/>
              </w:rPr>
            </w:pPr>
            <w:r w:rsidRPr="0072430B">
              <w:rPr>
                <w:rFonts w:ascii="Times New Roman" w:hAnsi="Times New Roman" w:cs="Times New Roman"/>
                <w:i/>
                <w:color w:val="FF0000"/>
                <w:sz w:val="22"/>
              </w:rPr>
              <w:t>First-time, Full-time</w:t>
            </w:r>
            <w:r w:rsidR="009714A7">
              <w:rPr>
                <w:rFonts w:ascii="Times New Roman" w:hAnsi="Times New Roman" w:cs="Times New Roman"/>
                <w:i/>
                <w:color w:val="FF0000"/>
                <w:sz w:val="22"/>
              </w:rPr>
              <w:t xml:space="preserve"> (FTFT)</w:t>
            </w:r>
            <w:r w:rsidRPr="0072430B">
              <w:rPr>
                <w:rFonts w:ascii="Times New Roman" w:hAnsi="Times New Roman" w:cs="Times New Roman"/>
                <w:i/>
                <w:color w:val="FF0000"/>
                <w:sz w:val="22"/>
              </w:rPr>
              <w:t xml:space="preserve"> Stud</w:t>
            </w:r>
            <w:r>
              <w:rPr>
                <w:rFonts w:ascii="Times New Roman" w:hAnsi="Times New Roman" w:cs="Times New Roman"/>
                <w:i/>
                <w:color w:val="FF0000"/>
                <w:sz w:val="22"/>
              </w:rPr>
              <w:t>ent Retention and Graduation Rates</w:t>
            </w:r>
          </w:p>
          <w:p w14:paraId="73FF38DC" w14:textId="3DAE8C66" w:rsidR="0072430B" w:rsidRDefault="0072430B" w:rsidP="0072430B">
            <w:pPr>
              <w:contextualSpacing/>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Retention Rate (1 Year) - 58.3% (Fall 2015 to Fall 2016) </w:t>
            </w:r>
          </w:p>
          <w:p w14:paraId="02D02799" w14:textId="6F71FC23" w:rsidR="0072430B" w:rsidRPr="0072430B" w:rsidRDefault="0072430B" w:rsidP="0072430B">
            <w:pPr>
              <w:rPr>
                <w:rFonts w:ascii="Times New Roman" w:hAnsi="Times New Roman" w:cs="Times New Roman"/>
                <w:color w:val="FF0000"/>
                <w:sz w:val="22"/>
              </w:rPr>
            </w:pPr>
            <w:r>
              <w:rPr>
                <w:rFonts w:ascii="Times New Roman" w:hAnsi="Times New Roman" w:cs="Times New Roman"/>
                <w:color w:val="000000" w:themeColor="text1"/>
                <w:sz w:val="22"/>
              </w:rPr>
              <w:t>Graduation Rate (3-Year) - 20.0% (FTFT2014)</w:t>
            </w:r>
          </w:p>
          <w:p w14:paraId="2CB8B7BC" w14:textId="4D420CAC" w:rsidR="0072430B" w:rsidRPr="0072430B" w:rsidRDefault="0072430B" w:rsidP="0072430B">
            <w:pPr>
              <w:rPr>
                <w:rFonts w:ascii="Times New Roman" w:hAnsi="Times New Roman" w:cs="Times New Roman"/>
                <w:color w:val="FF0000"/>
                <w:sz w:val="22"/>
              </w:rPr>
            </w:pPr>
          </w:p>
        </w:tc>
      </w:tr>
      <w:tr w:rsidR="00BA0585" w:rsidRPr="00706AFD" w14:paraId="5BF5C5EE" w14:textId="77777777" w:rsidTr="005C7C01">
        <w:tc>
          <w:tcPr>
            <w:tcW w:w="540" w:type="dxa"/>
            <w:vMerge/>
          </w:tcPr>
          <w:p w14:paraId="10DB3D1C" w14:textId="77777777" w:rsidR="00BA0585" w:rsidRPr="00706AFD" w:rsidRDefault="00BA0585" w:rsidP="005F01B2">
            <w:pPr>
              <w:spacing w:line="360" w:lineRule="auto"/>
              <w:rPr>
                <w:rFonts w:ascii="Times New Roman" w:hAnsi="Times New Roman" w:cs="Times New Roman"/>
                <w:b/>
                <w:sz w:val="22"/>
              </w:rPr>
            </w:pPr>
          </w:p>
        </w:tc>
        <w:tc>
          <w:tcPr>
            <w:tcW w:w="1350" w:type="dxa"/>
          </w:tcPr>
          <w:p w14:paraId="45C426B3" w14:textId="77777777" w:rsidR="00BA0585" w:rsidRPr="00706AFD" w:rsidRDefault="00BA0585" w:rsidP="005F01B2">
            <w:pPr>
              <w:rPr>
                <w:rFonts w:ascii="Times New Roman" w:hAnsi="Times New Roman" w:cs="Times New Roman"/>
                <w:b/>
                <w:sz w:val="22"/>
              </w:rPr>
            </w:pPr>
            <w:r w:rsidRPr="00706AFD">
              <w:rPr>
                <w:rFonts w:ascii="Times New Roman" w:hAnsi="Times New Roman" w:cs="Times New Roman"/>
                <w:b/>
                <w:sz w:val="22"/>
              </w:rPr>
              <w:t>Measures of Success</w:t>
            </w:r>
          </w:p>
        </w:tc>
        <w:tc>
          <w:tcPr>
            <w:tcW w:w="9630" w:type="dxa"/>
          </w:tcPr>
          <w:p w14:paraId="4BDB409E" w14:textId="77777777" w:rsidR="009714A7" w:rsidRDefault="009714A7" w:rsidP="005F01B2">
            <w:pPr>
              <w:rPr>
                <w:rFonts w:ascii="Times New Roman" w:hAnsi="Times New Roman" w:cs="Times New Roman"/>
                <w:b/>
                <w:sz w:val="22"/>
              </w:rPr>
            </w:pPr>
            <w:r>
              <w:rPr>
                <w:rFonts w:ascii="Times New Roman" w:hAnsi="Times New Roman" w:cs="Times New Roman"/>
                <w:b/>
                <w:sz w:val="22"/>
              </w:rPr>
              <w:t xml:space="preserve">Annual Target: </w:t>
            </w:r>
          </w:p>
          <w:p w14:paraId="4EF0C930" w14:textId="1F65BF1C" w:rsidR="009714A7" w:rsidRDefault="00866E70" w:rsidP="005F01B2">
            <w:pPr>
              <w:rPr>
                <w:rFonts w:ascii="Times New Roman" w:hAnsi="Times New Roman" w:cs="Times New Roman"/>
                <w:sz w:val="22"/>
              </w:rPr>
            </w:pPr>
            <w:r>
              <w:rPr>
                <w:rFonts w:ascii="Times New Roman" w:hAnsi="Times New Roman" w:cs="Times New Roman"/>
                <w:sz w:val="22"/>
              </w:rPr>
              <w:t>Retention Rate</w:t>
            </w:r>
            <w:r w:rsidR="005C7C01">
              <w:rPr>
                <w:rFonts w:ascii="Times New Roman" w:hAnsi="Times New Roman" w:cs="Times New Roman"/>
                <w:sz w:val="22"/>
              </w:rPr>
              <w:t>s (By semester)</w:t>
            </w:r>
            <w:r>
              <w:rPr>
                <w:rFonts w:ascii="Times New Roman" w:hAnsi="Times New Roman" w:cs="Times New Roman"/>
                <w:sz w:val="22"/>
              </w:rPr>
              <w:t>:</w:t>
            </w:r>
            <w:r w:rsidR="009714A7">
              <w:rPr>
                <w:rFonts w:ascii="Times New Roman" w:hAnsi="Times New Roman" w:cs="Times New Roman"/>
                <w:sz w:val="22"/>
              </w:rPr>
              <w:t xml:space="preserve"> </w:t>
            </w:r>
            <w:r w:rsidR="005C7C01">
              <w:rPr>
                <w:rFonts w:ascii="Times New Roman" w:hAnsi="Times New Roman" w:cs="Times New Roman"/>
                <w:sz w:val="22"/>
              </w:rPr>
              <w:t>Increase</w:t>
            </w:r>
            <w:r w:rsidR="007D3035" w:rsidRPr="007D3035">
              <w:rPr>
                <w:rFonts w:ascii="Times New Roman" w:hAnsi="Times New Roman" w:cs="Times New Roman"/>
                <w:sz w:val="22"/>
              </w:rPr>
              <w:t xml:space="preserve"> 3%</w:t>
            </w:r>
            <w:r w:rsidR="005C7C01">
              <w:rPr>
                <w:rFonts w:ascii="Times New Roman" w:hAnsi="Times New Roman" w:cs="Times New Roman"/>
                <w:sz w:val="22"/>
              </w:rPr>
              <w:t xml:space="preserve"> annually</w:t>
            </w:r>
            <w:r w:rsidR="009714A7">
              <w:rPr>
                <w:rFonts w:ascii="Times New Roman" w:hAnsi="Times New Roman" w:cs="Times New Roman"/>
                <w:sz w:val="22"/>
              </w:rPr>
              <w:t xml:space="preserve"> </w:t>
            </w:r>
          </w:p>
          <w:p w14:paraId="17034255" w14:textId="487856D8" w:rsidR="007D3035" w:rsidRDefault="00866E70" w:rsidP="005F01B2">
            <w:pPr>
              <w:rPr>
                <w:rFonts w:ascii="Times New Roman" w:hAnsi="Times New Roman" w:cs="Times New Roman"/>
                <w:b/>
                <w:sz w:val="22"/>
              </w:rPr>
            </w:pPr>
            <w:r>
              <w:rPr>
                <w:rFonts w:ascii="Times New Roman" w:hAnsi="Times New Roman" w:cs="Times New Roman"/>
                <w:sz w:val="22"/>
              </w:rPr>
              <w:t>Graduation</w:t>
            </w:r>
            <w:r w:rsidR="005C7C01">
              <w:rPr>
                <w:rFonts w:ascii="Times New Roman" w:hAnsi="Times New Roman" w:cs="Times New Roman"/>
                <w:sz w:val="22"/>
              </w:rPr>
              <w:t xml:space="preserve"> Rate (3-year)/Retention Rate (1-Year): Increase </w:t>
            </w:r>
            <w:r w:rsidR="009714A7">
              <w:rPr>
                <w:rFonts w:ascii="Times New Roman" w:hAnsi="Times New Roman" w:cs="Times New Roman"/>
                <w:sz w:val="22"/>
              </w:rPr>
              <w:t xml:space="preserve">2% </w:t>
            </w:r>
            <w:r w:rsidR="005C7C01">
              <w:rPr>
                <w:rFonts w:ascii="Times New Roman" w:hAnsi="Times New Roman" w:cs="Times New Roman"/>
                <w:sz w:val="22"/>
              </w:rPr>
              <w:t>annually</w:t>
            </w:r>
          </w:p>
          <w:p w14:paraId="1B93A4FD" w14:textId="0850E6F6" w:rsidR="00A94A8D" w:rsidRPr="009714A7" w:rsidRDefault="009714A7" w:rsidP="009714A7">
            <w:pPr>
              <w:pStyle w:val="ListParagraph"/>
              <w:numPr>
                <w:ilvl w:val="0"/>
                <w:numId w:val="13"/>
              </w:numPr>
              <w:ind w:left="519" w:hanging="519"/>
              <w:rPr>
                <w:rFonts w:ascii="Times New Roman" w:hAnsi="Times New Roman" w:cs="Times New Roman"/>
                <w:b/>
                <w:sz w:val="22"/>
              </w:rPr>
            </w:pPr>
            <w:r>
              <w:rPr>
                <w:rFonts w:ascii="Times New Roman" w:hAnsi="Times New Roman" w:cs="Times New Roman"/>
                <w:b/>
                <w:sz w:val="22"/>
              </w:rPr>
              <w:t xml:space="preserve"> Tar</w:t>
            </w:r>
            <w:r w:rsidR="00FB12CA" w:rsidRPr="009714A7">
              <w:rPr>
                <w:rFonts w:ascii="Times New Roman" w:hAnsi="Times New Roman" w:cs="Times New Roman"/>
                <w:b/>
                <w:sz w:val="22"/>
              </w:rPr>
              <w:t>get</w:t>
            </w:r>
          </w:p>
          <w:p w14:paraId="5E73D421" w14:textId="2794C6B4" w:rsidR="009714A7" w:rsidRDefault="005C7C01" w:rsidP="009714A7">
            <w:pPr>
              <w:rPr>
                <w:rFonts w:ascii="Times New Roman" w:hAnsi="Times New Roman" w:cs="Times New Roman"/>
                <w:sz w:val="22"/>
              </w:rPr>
            </w:pPr>
            <w:r>
              <w:rPr>
                <w:rFonts w:ascii="Times New Roman" w:hAnsi="Times New Roman" w:cs="Times New Roman"/>
                <w:sz w:val="22"/>
              </w:rPr>
              <w:t xml:space="preserve">Retention Rates (By Semester): </w:t>
            </w:r>
            <w:r w:rsidR="009714A7" w:rsidRPr="009714A7">
              <w:rPr>
                <w:rFonts w:ascii="Times New Roman" w:hAnsi="Times New Roman" w:cs="Times New Roman"/>
                <w:sz w:val="22"/>
              </w:rPr>
              <w:t>85</w:t>
            </w:r>
            <w:r w:rsidR="007D3035" w:rsidRPr="009714A7">
              <w:rPr>
                <w:rFonts w:ascii="Times New Roman" w:hAnsi="Times New Roman" w:cs="Times New Roman"/>
                <w:sz w:val="22"/>
              </w:rPr>
              <w:t>% (Spring to Fall); 90% (Fall to Spring)</w:t>
            </w:r>
          </w:p>
          <w:p w14:paraId="4DB9621D" w14:textId="65B7097D" w:rsidR="00BA0585" w:rsidRPr="009714A7" w:rsidRDefault="005C7C01" w:rsidP="009714A7">
            <w:pPr>
              <w:rPr>
                <w:rFonts w:ascii="Times New Roman" w:hAnsi="Times New Roman" w:cs="Times New Roman"/>
                <w:sz w:val="22"/>
              </w:rPr>
            </w:pPr>
            <w:r>
              <w:rPr>
                <w:rFonts w:ascii="Times New Roman" w:hAnsi="Times New Roman" w:cs="Times New Roman"/>
                <w:sz w:val="22"/>
              </w:rPr>
              <w:t>Graduation/Retention Rates for FTFT</w:t>
            </w:r>
            <w:r w:rsidR="009714A7">
              <w:rPr>
                <w:rFonts w:ascii="Times New Roman" w:hAnsi="Times New Roman" w:cs="Times New Roman"/>
                <w:sz w:val="22"/>
              </w:rPr>
              <w:t xml:space="preserve">: </w:t>
            </w:r>
            <w:r w:rsidR="009714A7" w:rsidRPr="009714A7">
              <w:rPr>
                <w:rFonts w:ascii="Times New Roman" w:hAnsi="Times New Roman" w:cs="Times New Roman"/>
                <w:sz w:val="22"/>
              </w:rPr>
              <w:t>Sustain at least national levels for retention (1 year) and graduation rates (3 year, Associates Degree)</w:t>
            </w:r>
          </w:p>
        </w:tc>
      </w:tr>
      <w:tr w:rsidR="00BA0585" w:rsidRPr="00706AFD" w14:paraId="20418D60" w14:textId="77777777" w:rsidTr="005C7C01">
        <w:tc>
          <w:tcPr>
            <w:tcW w:w="1890" w:type="dxa"/>
            <w:gridSpan w:val="2"/>
          </w:tcPr>
          <w:p w14:paraId="7EB71BAA" w14:textId="7548F3CD" w:rsidR="00BA0585" w:rsidRPr="00706AFD" w:rsidRDefault="00BA0585" w:rsidP="005F01B2">
            <w:pPr>
              <w:spacing w:line="360" w:lineRule="auto"/>
              <w:rPr>
                <w:rFonts w:ascii="Times New Roman" w:hAnsi="Times New Roman" w:cs="Times New Roman"/>
                <w:b/>
                <w:sz w:val="22"/>
              </w:rPr>
            </w:pPr>
            <w:r w:rsidRPr="00706AFD">
              <w:rPr>
                <w:rFonts w:ascii="Times New Roman" w:hAnsi="Times New Roman" w:cs="Times New Roman"/>
                <w:b/>
                <w:sz w:val="22"/>
              </w:rPr>
              <w:t>Lessons Learned</w:t>
            </w:r>
          </w:p>
        </w:tc>
        <w:tc>
          <w:tcPr>
            <w:tcW w:w="9630" w:type="dxa"/>
          </w:tcPr>
          <w:p w14:paraId="3515CC0B" w14:textId="6202B328" w:rsidR="00BA0585" w:rsidRPr="00706AFD" w:rsidRDefault="00D34F78" w:rsidP="008442FD">
            <w:pPr>
              <w:jc w:val="both"/>
              <w:rPr>
                <w:rFonts w:ascii="Times New Roman" w:hAnsi="Times New Roman" w:cs="Times New Roman"/>
                <w:sz w:val="22"/>
              </w:rPr>
            </w:pPr>
            <w:r>
              <w:rPr>
                <w:rFonts w:ascii="Times New Roman" w:hAnsi="Times New Roman" w:cs="Times New Roman"/>
                <w:sz w:val="22"/>
              </w:rPr>
              <w:t>Th</w:t>
            </w:r>
            <w:r w:rsidR="00D07123">
              <w:rPr>
                <w:rFonts w:ascii="Times New Roman" w:hAnsi="Times New Roman" w:cs="Times New Roman"/>
                <w:sz w:val="22"/>
              </w:rPr>
              <w:t>e</w:t>
            </w:r>
            <w:r>
              <w:rPr>
                <w:rFonts w:ascii="Times New Roman" w:hAnsi="Times New Roman" w:cs="Times New Roman"/>
                <w:sz w:val="22"/>
              </w:rPr>
              <w:t xml:space="preserve"> success</w:t>
            </w:r>
            <w:r w:rsidR="00D07123">
              <w:rPr>
                <w:rFonts w:ascii="Times New Roman" w:hAnsi="Times New Roman" w:cs="Times New Roman"/>
                <w:sz w:val="22"/>
              </w:rPr>
              <w:t xml:space="preserve"> of RPG strategies</w:t>
            </w:r>
            <w:r>
              <w:rPr>
                <w:rFonts w:ascii="Times New Roman" w:hAnsi="Times New Roman" w:cs="Times New Roman"/>
                <w:sz w:val="22"/>
              </w:rPr>
              <w:t xml:space="preserve"> is attributed to broad-based </w:t>
            </w:r>
            <w:r w:rsidR="00D07123">
              <w:rPr>
                <w:rFonts w:ascii="Times New Roman" w:hAnsi="Times New Roman" w:cs="Times New Roman"/>
                <w:sz w:val="22"/>
              </w:rPr>
              <w:t>participation</w:t>
            </w:r>
            <w:r>
              <w:rPr>
                <w:rFonts w:ascii="Times New Roman" w:hAnsi="Times New Roman" w:cs="Times New Roman"/>
                <w:sz w:val="22"/>
              </w:rPr>
              <w:t xml:space="preserve">, including administration, faculty, and staff support and coordination, with careful planning and consistent implementation of strategies. </w:t>
            </w:r>
          </w:p>
        </w:tc>
      </w:tr>
    </w:tbl>
    <w:p w14:paraId="0F2D39D0" w14:textId="77777777" w:rsidR="00BA0585" w:rsidRDefault="00BA0585" w:rsidP="009C5DE4">
      <w:pPr>
        <w:shd w:val="clear" w:color="auto" w:fill="FFFFFF" w:themeFill="background1"/>
        <w:outlineLvl w:val="0"/>
        <w:rPr>
          <w:rFonts w:ascii="Times New Roman" w:hAnsi="Times New Roman" w:cs="Times New Roman"/>
          <w:b/>
          <w:sz w:val="28"/>
          <w:szCs w:val="28"/>
        </w:rPr>
      </w:pPr>
    </w:p>
    <w:p w14:paraId="360C711E" w14:textId="7ADFBF62" w:rsidR="00963581" w:rsidRDefault="00D925CE" w:rsidP="00B73B99">
      <w:pPr>
        <w:shd w:val="clear" w:color="auto" w:fill="FFFFFF" w:themeFill="background1"/>
        <w:outlineLvl w:val="0"/>
        <w:rPr>
          <w:rFonts w:ascii="Times New Roman" w:hAnsi="Times New Roman" w:cs="Times New Roman"/>
          <w:b/>
          <w:sz w:val="28"/>
          <w:szCs w:val="28"/>
        </w:rPr>
      </w:pPr>
      <w:r w:rsidRPr="00AD6C04">
        <w:rPr>
          <w:rFonts w:ascii="Times New Roman" w:hAnsi="Times New Roman" w:cs="Times New Roman"/>
          <w:b/>
          <w:sz w:val="28"/>
          <w:szCs w:val="28"/>
        </w:rPr>
        <w:t>Observations</w:t>
      </w:r>
      <w:r w:rsidR="00BA5B27">
        <w:rPr>
          <w:rFonts w:ascii="Times New Roman" w:hAnsi="Times New Roman" w:cs="Times New Roman"/>
          <w:b/>
          <w:sz w:val="28"/>
          <w:szCs w:val="28"/>
        </w:rPr>
        <w:t xml:space="preserve"> and Projections</w:t>
      </w:r>
    </w:p>
    <w:p w14:paraId="74BE0B62" w14:textId="77777777" w:rsidR="00D34F78" w:rsidRPr="00B73B99" w:rsidRDefault="00D34F78" w:rsidP="00B73B99">
      <w:pPr>
        <w:shd w:val="clear" w:color="auto" w:fill="FFFFFF" w:themeFill="background1"/>
        <w:outlineLvl w:val="0"/>
        <w:rPr>
          <w:rFonts w:ascii="Times New Roman" w:hAnsi="Times New Roman" w:cs="Times New Roman"/>
          <w:b/>
          <w:sz w:val="28"/>
          <w:szCs w:val="28"/>
        </w:rPr>
      </w:pPr>
    </w:p>
    <w:p w14:paraId="63E157B5" w14:textId="027E99AD" w:rsidR="006F1ABD" w:rsidRDefault="00963581" w:rsidP="00A818F1">
      <w:pPr>
        <w:shd w:val="clear" w:color="auto" w:fill="FFFFFF" w:themeFill="background1"/>
        <w:jc w:val="both"/>
        <w:rPr>
          <w:rFonts w:ascii="Times New Roman" w:hAnsi="Times New Roman" w:cs="Times New Roman"/>
          <w:sz w:val="22"/>
          <w:szCs w:val="22"/>
        </w:rPr>
      </w:pPr>
      <w:r>
        <w:rPr>
          <w:rFonts w:ascii="Times New Roman" w:hAnsi="Times New Roman" w:cs="Times New Roman"/>
          <w:sz w:val="22"/>
          <w:szCs w:val="22"/>
        </w:rPr>
        <w:t xml:space="preserve">The </w:t>
      </w:r>
      <w:r w:rsidR="00AA17CD">
        <w:rPr>
          <w:rFonts w:ascii="Times New Roman" w:hAnsi="Times New Roman" w:cs="Times New Roman"/>
          <w:sz w:val="22"/>
          <w:szCs w:val="22"/>
        </w:rPr>
        <w:t>Complete College Georgia efforts of Atlanta Metrop</w:t>
      </w:r>
      <w:r>
        <w:rPr>
          <w:rFonts w:ascii="Times New Roman" w:hAnsi="Times New Roman" w:cs="Times New Roman"/>
          <w:sz w:val="22"/>
          <w:szCs w:val="22"/>
        </w:rPr>
        <w:t>olitan Stat</w:t>
      </w:r>
      <w:r w:rsidR="00D07123">
        <w:rPr>
          <w:rFonts w:ascii="Times New Roman" w:hAnsi="Times New Roman" w:cs="Times New Roman"/>
          <w:sz w:val="22"/>
          <w:szCs w:val="22"/>
        </w:rPr>
        <w:t xml:space="preserve">e College are driven by the day-to-day </w:t>
      </w:r>
      <w:r w:rsidR="00C8748C">
        <w:rPr>
          <w:rFonts w:ascii="Times New Roman" w:hAnsi="Times New Roman" w:cs="Times New Roman"/>
          <w:sz w:val="22"/>
          <w:szCs w:val="22"/>
        </w:rPr>
        <w:t>implementation of</w:t>
      </w:r>
      <w:r w:rsidR="00B61E4B">
        <w:rPr>
          <w:rFonts w:ascii="Times New Roman" w:hAnsi="Times New Roman" w:cs="Times New Roman"/>
          <w:sz w:val="22"/>
          <w:szCs w:val="22"/>
        </w:rPr>
        <w:t xml:space="preserve"> </w:t>
      </w:r>
      <w:r w:rsidR="00AA17CD">
        <w:rPr>
          <w:rFonts w:ascii="Times New Roman" w:hAnsi="Times New Roman" w:cs="Times New Roman"/>
          <w:sz w:val="22"/>
          <w:szCs w:val="22"/>
        </w:rPr>
        <w:t>RPG (retention, progression</w:t>
      </w:r>
      <w:r w:rsidR="00B61E4B">
        <w:rPr>
          <w:rFonts w:ascii="Times New Roman" w:hAnsi="Times New Roman" w:cs="Times New Roman"/>
          <w:sz w:val="22"/>
          <w:szCs w:val="22"/>
        </w:rPr>
        <w:t xml:space="preserve">, and graduation) </w:t>
      </w:r>
      <w:r w:rsidR="00D07123">
        <w:rPr>
          <w:rFonts w:ascii="Times New Roman" w:hAnsi="Times New Roman" w:cs="Times New Roman"/>
          <w:sz w:val="22"/>
          <w:szCs w:val="22"/>
        </w:rPr>
        <w:t xml:space="preserve">strategies. </w:t>
      </w:r>
      <w:r w:rsidR="00B61E4B">
        <w:rPr>
          <w:rFonts w:ascii="Times New Roman" w:hAnsi="Times New Roman" w:cs="Times New Roman"/>
          <w:sz w:val="22"/>
          <w:szCs w:val="22"/>
        </w:rPr>
        <w:t>The College</w:t>
      </w:r>
      <w:r w:rsidR="00EC2504">
        <w:rPr>
          <w:rFonts w:ascii="Times New Roman" w:hAnsi="Times New Roman" w:cs="Times New Roman"/>
          <w:sz w:val="22"/>
          <w:szCs w:val="22"/>
        </w:rPr>
        <w:t xml:space="preserve"> </w:t>
      </w:r>
      <w:r w:rsidR="00B61E4B">
        <w:rPr>
          <w:rFonts w:ascii="Times New Roman" w:hAnsi="Times New Roman" w:cs="Times New Roman"/>
          <w:sz w:val="22"/>
          <w:szCs w:val="22"/>
        </w:rPr>
        <w:t>projects</w:t>
      </w:r>
      <w:r w:rsidR="00C0048A">
        <w:rPr>
          <w:rFonts w:ascii="Times New Roman" w:hAnsi="Times New Roman" w:cs="Times New Roman"/>
          <w:sz w:val="22"/>
          <w:szCs w:val="22"/>
        </w:rPr>
        <w:t xml:space="preserve"> continuous</w:t>
      </w:r>
      <w:r w:rsidR="00EC2504">
        <w:rPr>
          <w:rFonts w:ascii="Times New Roman" w:hAnsi="Times New Roman" w:cs="Times New Roman"/>
          <w:sz w:val="22"/>
          <w:szCs w:val="22"/>
        </w:rPr>
        <w:t xml:space="preserve"> </w:t>
      </w:r>
      <w:r w:rsidR="00C8748C">
        <w:rPr>
          <w:rFonts w:ascii="Times New Roman" w:hAnsi="Times New Roman" w:cs="Times New Roman"/>
          <w:sz w:val="22"/>
          <w:szCs w:val="22"/>
        </w:rPr>
        <w:t xml:space="preserve">RPG </w:t>
      </w:r>
      <w:r w:rsidR="00C0048A">
        <w:rPr>
          <w:rFonts w:ascii="Times New Roman" w:hAnsi="Times New Roman" w:cs="Times New Roman"/>
          <w:sz w:val="22"/>
          <w:szCs w:val="22"/>
        </w:rPr>
        <w:t>growth</w:t>
      </w:r>
      <w:r w:rsidR="001D42E6">
        <w:rPr>
          <w:rFonts w:ascii="Times New Roman" w:hAnsi="Times New Roman" w:cs="Times New Roman"/>
          <w:sz w:val="22"/>
          <w:szCs w:val="22"/>
        </w:rPr>
        <w:t xml:space="preserve">, </w:t>
      </w:r>
      <w:r w:rsidR="00C8748C">
        <w:rPr>
          <w:rFonts w:ascii="Times New Roman" w:hAnsi="Times New Roman" w:cs="Times New Roman"/>
          <w:sz w:val="22"/>
          <w:szCs w:val="22"/>
        </w:rPr>
        <w:t>particularly with</w:t>
      </w:r>
      <w:r w:rsidR="001D42E6">
        <w:rPr>
          <w:rFonts w:ascii="Times New Roman" w:hAnsi="Times New Roman" w:cs="Times New Roman"/>
          <w:sz w:val="22"/>
          <w:szCs w:val="22"/>
        </w:rPr>
        <w:t xml:space="preserve"> </w:t>
      </w:r>
      <w:r w:rsidR="006F1ABD">
        <w:rPr>
          <w:rFonts w:ascii="Times New Roman" w:hAnsi="Times New Roman" w:cs="Times New Roman"/>
          <w:sz w:val="22"/>
          <w:szCs w:val="22"/>
        </w:rPr>
        <w:t>continuing/returning</w:t>
      </w:r>
      <w:r w:rsidR="00C8748C">
        <w:rPr>
          <w:rFonts w:ascii="Times New Roman" w:hAnsi="Times New Roman" w:cs="Times New Roman"/>
          <w:sz w:val="22"/>
          <w:szCs w:val="22"/>
        </w:rPr>
        <w:t xml:space="preserve"> </w:t>
      </w:r>
      <w:r w:rsidR="001D42E6">
        <w:rPr>
          <w:rFonts w:ascii="Times New Roman" w:hAnsi="Times New Roman" w:cs="Times New Roman"/>
          <w:sz w:val="22"/>
          <w:szCs w:val="22"/>
        </w:rPr>
        <w:t xml:space="preserve">and part-time </w:t>
      </w:r>
      <w:r w:rsidR="006F1ABD">
        <w:rPr>
          <w:rFonts w:ascii="Times New Roman" w:hAnsi="Times New Roman" w:cs="Times New Roman"/>
          <w:sz w:val="22"/>
          <w:szCs w:val="22"/>
        </w:rPr>
        <w:t>students</w:t>
      </w:r>
      <w:r w:rsidR="00C8748C">
        <w:rPr>
          <w:rFonts w:ascii="Times New Roman" w:hAnsi="Times New Roman" w:cs="Times New Roman"/>
          <w:sz w:val="22"/>
          <w:szCs w:val="22"/>
        </w:rPr>
        <w:t>, targets for FY18.</w:t>
      </w:r>
    </w:p>
    <w:p w14:paraId="2C6D4958" w14:textId="77777777" w:rsidR="001D42E6" w:rsidRPr="006F1ABD" w:rsidRDefault="001D42E6" w:rsidP="00A818F1">
      <w:pPr>
        <w:shd w:val="clear" w:color="auto" w:fill="FFFFFF" w:themeFill="background1"/>
        <w:jc w:val="both"/>
        <w:rPr>
          <w:rFonts w:ascii="Times New Roman" w:hAnsi="Times New Roman" w:cs="Times New Roman"/>
          <w:sz w:val="22"/>
          <w:szCs w:val="22"/>
        </w:rPr>
      </w:pPr>
    </w:p>
    <w:p w14:paraId="1CE248CD" w14:textId="7150AD6A" w:rsidR="00A83677" w:rsidRPr="00D34F78" w:rsidRDefault="00E11687" w:rsidP="00B974D0">
      <w:pPr>
        <w:shd w:val="clear" w:color="auto" w:fill="FFFFFF" w:themeFill="background1"/>
        <w:jc w:val="both"/>
        <w:rPr>
          <w:rFonts w:ascii="Times New Roman" w:hAnsi="Times New Roman" w:cs="Times New Roman"/>
          <w:i/>
          <w:sz w:val="22"/>
          <w:szCs w:val="22"/>
        </w:rPr>
      </w:pPr>
      <w:r w:rsidRPr="00E11687">
        <w:rPr>
          <w:rFonts w:ascii="Times New Roman" w:hAnsi="Times New Roman" w:cs="Times New Roman"/>
          <w:sz w:val="22"/>
          <w:szCs w:val="22"/>
        </w:rPr>
        <w:t xml:space="preserve">AMSC </w:t>
      </w:r>
      <w:r w:rsidR="001A2E74">
        <w:rPr>
          <w:rFonts w:ascii="Times New Roman" w:hAnsi="Times New Roman" w:cs="Times New Roman"/>
          <w:sz w:val="22"/>
          <w:szCs w:val="22"/>
        </w:rPr>
        <w:t xml:space="preserve">will </w:t>
      </w:r>
      <w:r w:rsidR="00C8748C">
        <w:rPr>
          <w:rFonts w:ascii="Times New Roman" w:hAnsi="Times New Roman" w:cs="Times New Roman"/>
          <w:sz w:val="22"/>
          <w:szCs w:val="22"/>
        </w:rPr>
        <w:t>continue integrating</w:t>
      </w:r>
      <w:r w:rsidR="00C0048A">
        <w:rPr>
          <w:rFonts w:ascii="Times New Roman" w:hAnsi="Times New Roman" w:cs="Times New Roman"/>
          <w:sz w:val="22"/>
          <w:szCs w:val="22"/>
        </w:rPr>
        <w:t xml:space="preserve"> and expand</w:t>
      </w:r>
      <w:r w:rsidR="00C8748C">
        <w:rPr>
          <w:rFonts w:ascii="Times New Roman" w:hAnsi="Times New Roman" w:cs="Times New Roman"/>
          <w:sz w:val="22"/>
          <w:szCs w:val="22"/>
        </w:rPr>
        <w:t>ing</w:t>
      </w:r>
      <w:r w:rsidR="00C0048A">
        <w:rPr>
          <w:rFonts w:ascii="Times New Roman" w:hAnsi="Times New Roman" w:cs="Times New Roman"/>
          <w:sz w:val="22"/>
          <w:szCs w:val="22"/>
        </w:rPr>
        <w:t xml:space="preserve"> </w:t>
      </w:r>
      <w:r w:rsidR="001A2E74">
        <w:rPr>
          <w:rFonts w:ascii="Times New Roman" w:hAnsi="Times New Roman" w:cs="Times New Roman"/>
          <w:sz w:val="22"/>
          <w:szCs w:val="22"/>
        </w:rPr>
        <w:t>predictive analytics</w:t>
      </w:r>
      <w:r w:rsidR="00F851BC">
        <w:rPr>
          <w:rFonts w:ascii="Times New Roman" w:hAnsi="Times New Roman" w:cs="Times New Roman"/>
          <w:sz w:val="22"/>
          <w:szCs w:val="22"/>
        </w:rPr>
        <w:t xml:space="preserve">, focusing the upcoming year on using </w:t>
      </w:r>
      <w:r w:rsidR="00C0048A">
        <w:rPr>
          <w:rFonts w:ascii="Times New Roman" w:hAnsi="Times New Roman" w:cs="Times New Roman"/>
          <w:sz w:val="22"/>
          <w:szCs w:val="22"/>
        </w:rPr>
        <w:t xml:space="preserve">analytics to </w:t>
      </w:r>
      <w:r w:rsidR="00F851BC">
        <w:rPr>
          <w:rFonts w:ascii="Times New Roman" w:hAnsi="Times New Roman" w:cs="Times New Roman"/>
          <w:sz w:val="22"/>
          <w:szCs w:val="22"/>
        </w:rPr>
        <w:t>better predict</w:t>
      </w:r>
      <w:r w:rsidR="00C0048A">
        <w:rPr>
          <w:rFonts w:ascii="Times New Roman" w:hAnsi="Times New Roman" w:cs="Times New Roman"/>
          <w:sz w:val="22"/>
          <w:szCs w:val="22"/>
        </w:rPr>
        <w:t xml:space="preserve"> and provid</w:t>
      </w:r>
      <w:r w:rsidR="00F851BC">
        <w:rPr>
          <w:rFonts w:ascii="Times New Roman" w:hAnsi="Times New Roman" w:cs="Times New Roman"/>
          <w:sz w:val="22"/>
          <w:szCs w:val="22"/>
        </w:rPr>
        <w:t>e</w:t>
      </w:r>
      <w:r w:rsidR="00663B19">
        <w:rPr>
          <w:rFonts w:ascii="Times New Roman" w:hAnsi="Times New Roman" w:cs="Times New Roman"/>
          <w:sz w:val="22"/>
          <w:szCs w:val="22"/>
        </w:rPr>
        <w:t xml:space="preserve"> course offerings</w:t>
      </w:r>
      <w:r w:rsidR="00F851BC">
        <w:rPr>
          <w:rFonts w:ascii="Times New Roman" w:hAnsi="Times New Roman" w:cs="Times New Roman"/>
          <w:sz w:val="22"/>
          <w:szCs w:val="22"/>
        </w:rPr>
        <w:t xml:space="preserve"> and “smart” course scheduling</w:t>
      </w:r>
      <w:r w:rsidR="00663B19">
        <w:rPr>
          <w:rFonts w:ascii="Times New Roman" w:hAnsi="Times New Roman" w:cs="Times New Roman"/>
          <w:sz w:val="22"/>
          <w:szCs w:val="22"/>
        </w:rPr>
        <w:t>.</w:t>
      </w:r>
      <w:r w:rsidR="00C8748C">
        <w:rPr>
          <w:rFonts w:ascii="Times New Roman" w:hAnsi="Times New Roman" w:cs="Times New Roman"/>
          <w:sz w:val="22"/>
          <w:szCs w:val="22"/>
        </w:rPr>
        <w:t xml:space="preserve"> The goal, utilizing analytics, is</w:t>
      </w:r>
      <w:r w:rsidR="00AA17CD">
        <w:rPr>
          <w:rFonts w:ascii="Times New Roman" w:hAnsi="Times New Roman" w:cs="Times New Roman"/>
          <w:sz w:val="22"/>
          <w:szCs w:val="22"/>
        </w:rPr>
        <w:t xml:space="preserve"> to (a</w:t>
      </w:r>
      <w:r w:rsidR="00C8748C">
        <w:rPr>
          <w:rFonts w:ascii="Times New Roman" w:hAnsi="Times New Roman" w:cs="Times New Roman"/>
          <w:sz w:val="22"/>
          <w:szCs w:val="22"/>
        </w:rPr>
        <w:t>) ensure that course</w:t>
      </w:r>
      <w:r w:rsidR="001A2E74">
        <w:rPr>
          <w:rFonts w:ascii="Times New Roman" w:hAnsi="Times New Roman" w:cs="Times New Roman"/>
          <w:sz w:val="22"/>
          <w:szCs w:val="22"/>
        </w:rPr>
        <w:t xml:space="preserve"> listings are nimble a</w:t>
      </w:r>
      <w:r w:rsidR="00F851BC">
        <w:rPr>
          <w:rFonts w:ascii="Times New Roman" w:hAnsi="Times New Roman" w:cs="Times New Roman"/>
          <w:sz w:val="22"/>
          <w:szCs w:val="22"/>
        </w:rPr>
        <w:t>nd responsive</w:t>
      </w:r>
      <w:r w:rsidR="00AA17CD">
        <w:rPr>
          <w:rFonts w:ascii="Times New Roman" w:hAnsi="Times New Roman" w:cs="Times New Roman"/>
          <w:sz w:val="22"/>
          <w:szCs w:val="22"/>
        </w:rPr>
        <w:t xml:space="preserve"> to student </w:t>
      </w:r>
      <w:r w:rsidR="00F851BC">
        <w:rPr>
          <w:rFonts w:ascii="Times New Roman" w:hAnsi="Times New Roman" w:cs="Times New Roman"/>
          <w:sz w:val="22"/>
          <w:szCs w:val="22"/>
        </w:rPr>
        <w:t xml:space="preserve">programmatic needs, and </w:t>
      </w:r>
      <w:r w:rsidR="00AA17CD">
        <w:rPr>
          <w:rFonts w:ascii="Times New Roman" w:hAnsi="Times New Roman" w:cs="Times New Roman"/>
          <w:sz w:val="22"/>
          <w:szCs w:val="22"/>
        </w:rPr>
        <w:t>(</w:t>
      </w:r>
      <w:r w:rsidR="00EA30C4">
        <w:rPr>
          <w:rFonts w:ascii="Times New Roman" w:hAnsi="Times New Roman" w:cs="Times New Roman"/>
          <w:sz w:val="22"/>
          <w:szCs w:val="22"/>
        </w:rPr>
        <w:t>b) improve</w:t>
      </w:r>
      <w:r w:rsidR="001A2E74">
        <w:rPr>
          <w:rFonts w:ascii="Times New Roman" w:hAnsi="Times New Roman" w:cs="Times New Roman"/>
          <w:sz w:val="22"/>
          <w:szCs w:val="22"/>
        </w:rPr>
        <w:t xml:space="preserve"> </w:t>
      </w:r>
      <w:r w:rsidR="00F851BC">
        <w:rPr>
          <w:rFonts w:ascii="Times New Roman" w:hAnsi="Times New Roman" w:cs="Times New Roman"/>
          <w:sz w:val="22"/>
          <w:szCs w:val="22"/>
        </w:rPr>
        <w:t xml:space="preserve">the </w:t>
      </w:r>
      <w:r w:rsidR="001A2E74">
        <w:rPr>
          <w:rFonts w:ascii="Times New Roman" w:hAnsi="Times New Roman" w:cs="Times New Roman"/>
          <w:sz w:val="22"/>
          <w:szCs w:val="22"/>
        </w:rPr>
        <w:t xml:space="preserve">efficiency and </w:t>
      </w:r>
      <w:r w:rsidR="00F851BC">
        <w:rPr>
          <w:rFonts w:ascii="Times New Roman" w:hAnsi="Times New Roman" w:cs="Times New Roman"/>
          <w:sz w:val="22"/>
          <w:szCs w:val="22"/>
        </w:rPr>
        <w:t xml:space="preserve">effectiveness of </w:t>
      </w:r>
      <w:r w:rsidR="001A2E74">
        <w:rPr>
          <w:rFonts w:ascii="Times New Roman" w:hAnsi="Times New Roman" w:cs="Times New Roman"/>
          <w:sz w:val="22"/>
          <w:szCs w:val="22"/>
        </w:rPr>
        <w:t>resources</w:t>
      </w:r>
      <w:r w:rsidR="00BB493F">
        <w:rPr>
          <w:rFonts w:ascii="Times New Roman" w:hAnsi="Times New Roman" w:cs="Times New Roman"/>
          <w:sz w:val="22"/>
          <w:szCs w:val="22"/>
        </w:rPr>
        <w:t xml:space="preserve"> across all course delivery platforms.</w:t>
      </w:r>
      <w:r w:rsidR="001A2E74">
        <w:rPr>
          <w:rFonts w:ascii="Times New Roman" w:hAnsi="Times New Roman" w:cs="Times New Roman"/>
          <w:sz w:val="22"/>
          <w:szCs w:val="22"/>
        </w:rPr>
        <w:t xml:space="preserve"> </w:t>
      </w:r>
    </w:p>
    <w:sectPr w:rsidR="00A83677" w:rsidRPr="00D34F78" w:rsidSect="00687536">
      <w:headerReference w:type="even" r:id="rId14"/>
      <w:headerReference w:type="default" r:id="rId15"/>
      <w:footerReference w:type="even" r:id="rId16"/>
      <w:footerReference w:type="default" r:id="rId17"/>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47885" w14:textId="77777777" w:rsidR="00100D19" w:rsidRDefault="00100D19" w:rsidP="007160B6">
      <w:r>
        <w:separator/>
      </w:r>
    </w:p>
  </w:endnote>
  <w:endnote w:type="continuationSeparator" w:id="0">
    <w:p w14:paraId="73CF31F1" w14:textId="77777777" w:rsidR="00100D19" w:rsidRDefault="00100D19" w:rsidP="0071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8BBA7" w14:textId="77777777" w:rsidR="00C223E7" w:rsidRDefault="00C223E7">
    <w:pPr>
      <w:pStyle w:val="Footer"/>
    </w:pPr>
  </w:p>
  <w:p w14:paraId="455A019B" w14:textId="77777777" w:rsidR="00C223E7" w:rsidRDefault="00C223E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644402"/>
      <w:docPartObj>
        <w:docPartGallery w:val="Page Numbers (Bottom of Page)"/>
        <w:docPartUnique/>
      </w:docPartObj>
    </w:sdtPr>
    <w:sdtEndPr>
      <w:rPr>
        <w:noProof/>
      </w:rPr>
    </w:sdtEndPr>
    <w:sdtContent>
      <w:p w14:paraId="56FF7EA7" w14:textId="2D90DE79" w:rsidR="00C223E7" w:rsidRDefault="00C223E7">
        <w:pPr>
          <w:pStyle w:val="Footer"/>
          <w:jc w:val="center"/>
        </w:pPr>
        <w:r>
          <w:fldChar w:fldCharType="begin"/>
        </w:r>
        <w:r>
          <w:instrText xml:space="preserve"> PAGE   \* MERGEFORMAT </w:instrText>
        </w:r>
        <w:r>
          <w:fldChar w:fldCharType="separate"/>
        </w:r>
        <w:r w:rsidR="00183F4A">
          <w:rPr>
            <w:noProof/>
          </w:rPr>
          <w:t>10</w:t>
        </w:r>
        <w:r>
          <w:rPr>
            <w:noProof/>
          </w:rPr>
          <w:fldChar w:fldCharType="end"/>
        </w:r>
      </w:p>
    </w:sdtContent>
  </w:sdt>
  <w:p w14:paraId="03C2DC1E" w14:textId="77777777" w:rsidR="00C223E7" w:rsidRDefault="00C223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B4577" w14:textId="77777777" w:rsidR="00100D19" w:rsidRDefault="00100D19" w:rsidP="007160B6">
      <w:r>
        <w:separator/>
      </w:r>
    </w:p>
  </w:footnote>
  <w:footnote w:type="continuationSeparator" w:id="0">
    <w:p w14:paraId="5FFB7C31" w14:textId="77777777" w:rsidR="00100D19" w:rsidRDefault="00100D19" w:rsidP="00716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BC840" w14:textId="77328C85" w:rsidR="00C223E7" w:rsidRDefault="00C223E7" w:rsidP="009C5DE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6C9C42" w14:textId="480B74A4" w:rsidR="00C223E7" w:rsidRDefault="00C223E7" w:rsidP="0017548B">
    <w:pPr>
      <w:pStyle w:val="Header"/>
      <w:ind w:right="360"/>
    </w:pPr>
  </w:p>
  <w:p w14:paraId="5B004C98" w14:textId="77777777" w:rsidR="00C223E7" w:rsidRDefault="00C223E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78199" w14:textId="7B78B533" w:rsidR="00C223E7" w:rsidRDefault="00C223E7" w:rsidP="00CE5016">
    <w:pPr>
      <w:pStyle w:val="Header"/>
      <w:framePr w:wrap="none" w:vAnchor="text" w:hAnchor="margin" w:xAlign="right" w:y="1"/>
      <w:rPr>
        <w:rStyle w:val="PageNumber"/>
      </w:rPr>
    </w:pPr>
  </w:p>
  <w:p w14:paraId="09C76197" w14:textId="77777777" w:rsidR="00C223E7" w:rsidRDefault="00C223E7" w:rsidP="009C5DE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B7BFA"/>
    <w:multiLevelType w:val="hybridMultilevel"/>
    <w:tmpl w:val="4B8E11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9C2081"/>
    <w:multiLevelType w:val="hybridMultilevel"/>
    <w:tmpl w:val="D618F196"/>
    <w:lvl w:ilvl="0" w:tplc="C076238A">
      <w:start w:val="2025"/>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4F2E81"/>
    <w:multiLevelType w:val="hybridMultilevel"/>
    <w:tmpl w:val="FF503986"/>
    <w:lvl w:ilvl="0" w:tplc="C498A56E">
      <w:start w:val="2025"/>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7E4D34"/>
    <w:multiLevelType w:val="hybridMultilevel"/>
    <w:tmpl w:val="395AC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C106EB"/>
    <w:multiLevelType w:val="hybridMultilevel"/>
    <w:tmpl w:val="F866F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E60A99"/>
    <w:multiLevelType w:val="hybridMultilevel"/>
    <w:tmpl w:val="CBAE6F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A7E85"/>
    <w:multiLevelType w:val="hybridMultilevel"/>
    <w:tmpl w:val="3C4A4D96"/>
    <w:lvl w:ilvl="0" w:tplc="9E1E7B8C">
      <w:start w:val="202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0E0B6F"/>
    <w:multiLevelType w:val="hybridMultilevel"/>
    <w:tmpl w:val="B70275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4633444"/>
    <w:multiLevelType w:val="hybridMultilevel"/>
    <w:tmpl w:val="B64ADB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9A5976"/>
    <w:multiLevelType w:val="hybridMultilevel"/>
    <w:tmpl w:val="338A8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5313E0"/>
    <w:multiLevelType w:val="hybridMultilevel"/>
    <w:tmpl w:val="BBAEB7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C7AAD"/>
    <w:multiLevelType w:val="hybridMultilevel"/>
    <w:tmpl w:val="475C018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CE5DE4"/>
    <w:multiLevelType w:val="hybridMultilevel"/>
    <w:tmpl w:val="DAB2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3"/>
  </w:num>
  <w:num w:numId="4">
    <w:abstractNumId w:val="4"/>
  </w:num>
  <w:num w:numId="5">
    <w:abstractNumId w:val="9"/>
  </w:num>
  <w:num w:numId="6">
    <w:abstractNumId w:val="7"/>
  </w:num>
  <w:num w:numId="7">
    <w:abstractNumId w:val="8"/>
  </w:num>
  <w:num w:numId="8">
    <w:abstractNumId w:val="10"/>
  </w:num>
  <w:num w:numId="9">
    <w:abstractNumId w:val="11"/>
  </w:num>
  <w:num w:numId="10">
    <w:abstractNumId w:val="5"/>
  </w:num>
  <w:num w:numId="11">
    <w:abstractNumId w:val="6"/>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6E3"/>
    <w:rsid w:val="00007E3E"/>
    <w:rsid w:val="000104B5"/>
    <w:rsid w:val="00012D0D"/>
    <w:rsid w:val="00017DDB"/>
    <w:rsid w:val="0002328D"/>
    <w:rsid w:val="00027ECB"/>
    <w:rsid w:val="000313ED"/>
    <w:rsid w:val="00034E93"/>
    <w:rsid w:val="0004221C"/>
    <w:rsid w:val="00043279"/>
    <w:rsid w:val="0004419B"/>
    <w:rsid w:val="00045226"/>
    <w:rsid w:val="00046A31"/>
    <w:rsid w:val="000479F6"/>
    <w:rsid w:val="00055FD4"/>
    <w:rsid w:val="0006175F"/>
    <w:rsid w:val="000618A4"/>
    <w:rsid w:val="00062A4D"/>
    <w:rsid w:val="00063849"/>
    <w:rsid w:val="00063DB9"/>
    <w:rsid w:val="00064E48"/>
    <w:rsid w:val="00065A31"/>
    <w:rsid w:val="0006615A"/>
    <w:rsid w:val="0007231F"/>
    <w:rsid w:val="00075519"/>
    <w:rsid w:val="0009292F"/>
    <w:rsid w:val="00094F4C"/>
    <w:rsid w:val="00097B3B"/>
    <w:rsid w:val="000A79D6"/>
    <w:rsid w:val="000B7B7C"/>
    <w:rsid w:val="000C100A"/>
    <w:rsid w:val="000C2472"/>
    <w:rsid w:val="000C2BB1"/>
    <w:rsid w:val="000C530D"/>
    <w:rsid w:val="000D50AC"/>
    <w:rsid w:val="000D5843"/>
    <w:rsid w:val="000D60E6"/>
    <w:rsid w:val="000D7332"/>
    <w:rsid w:val="000E3292"/>
    <w:rsid w:val="000F2B7A"/>
    <w:rsid w:val="00100D19"/>
    <w:rsid w:val="0010247B"/>
    <w:rsid w:val="00110C93"/>
    <w:rsid w:val="00113FD3"/>
    <w:rsid w:val="001143BC"/>
    <w:rsid w:val="0011521F"/>
    <w:rsid w:val="0011679F"/>
    <w:rsid w:val="00124E04"/>
    <w:rsid w:val="00127DF4"/>
    <w:rsid w:val="001300FC"/>
    <w:rsid w:val="00133035"/>
    <w:rsid w:val="0013597A"/>
    <w:rsid w:val="001377E4"/>
    <w:rsid w:val="001426E9"/>
    <w:rsid w:val="001428F1"/>
    <w:rsid w:val="001470CB"/>
    <w:rsid w:val="00151550"/>
    <w:rsid w:val="001521AD"/>
    <w:rsid w:val="00153DDF"/>
    <w:rsid w:val="00156BA9"/>
    <w:rsid w:val="0016452B"/>
    <w:rsid w:val="0016456B"/>
    <w:rsid w:val="00164F4D"/>
    <w:rsid w:val="00165545"/>
    <w:rsid w:val="00167297"/>
    <w:rsid w:val="0017548B"/>
    <w:rsid w:val="00176896"/>
    <w:rsid w:val="00180A1C"/>
    <w:rsid w:val="001820F6"/>
    <w:rsid w:val="00183F4A"/>
    <w:rsid w:val="00185E49"/>
    <w:rsid w:val="001922AE"/>
    <w:rsid w:val="00192973"/>
    <w:rsid w:val="00195CFD"/>
    <w:rsid w:val="0019660C"/>
    <w:rsid w:val="001A2E74"/>
    <w:rsid w:val="001A3138"/>
    <w:rsid w:val="001A50E9"/>
    <w:rsid w:val="001B3050"/>
    <w:rsid w:val="001B3319"/>
    <w:rsid w:val="001B46A0"/>
    <w:rsid w:val="001B6350"/>
    <w:rsid w:val="001C2B2E"/>
    <w:rsid w:val="001C735A"/>
    <w:rsid w:val="001D42E6"/>
    <w:rsid w:val="001D4DD9"/>
    <w:rsid w:val="001D5041"/>
    <w:rsid w:val="001D58F4"/>
    <w:rsid w:val="001D68DB"/>
    <w:rsid w:val="001E07DE"/>
    <w:rsid w:val="001E0835"/>
    <w:rsid w:val="001E386D"/>
    <w:rsid w:val="001E6FB4"/>
    <w:rsid w:val="001F2E3E"/>
    <w:rsid w:val="001F539B"/>
    <w:rsid w:val="0020198C"/>
    <w:rsid w:val="00201B3E"/>
    <w:rsid w:val="00202C13"/>
    <w:rsid w:val="00203C82"/>
    <w:rsid w:val="00212486"/>
    <w:rsid w:val="00213E13"/>
    <w:rsid w:val="0021491C"/>
    <w:rsid w:val="00215CE7"/>
    <w:rsid w:val="00221986"/>
    <w:rsid w:val="00221FEA"/>
    <w:rsid w:val="00222B89"/>
    <w:rsid w:val="00224562"/>
    <w:rsid w:val="00231580"/>
    <w:rsid w:val="002329AA"/>
    <w:rsid w:val="00235C05"/>
    <w:rsid w:val="00237B32"/>
    <w:rsid w:val="002421AA"/>
    <w:rsid w:val="00244AB2"/>
    <w:rsid w:val="00250BB6"/>
    <w:rsid w:val="0025212C"/>
    <w:rsid w:val="00260153"/>
    <w:rsid w:val="00271F36"/>
    <w:rsid w:val="00272ABF"/>
    <w:rsid w:val="0028356E"/>
    <w:rsid w:val="00286ACE"/>
    <w:rsid w:val="00291FB7"/>
    <w:rsid w:val="00293B3A"/>
    <w:rsid w:val="00294FEE"/>
    <w:rsid w:val="002A3BFA"/>
    <w:rsid w:val="002A416F"/>
    <w:rsid w:val="002A59F6"/>
    <w:rsid w:val="002A605C"/>
    <w:rsid w:val="002A7D17"/>
    <w:rsid w:val="002B2B43"/>
    <w:rsid w:val="002B3901"/>
    <w:rsid w:val="002B4CD8"/>
    <w:rsid w:val="002B576E"/>
    <w:rsid w:val="002B7654"/>
    <w:rsid w:val="002D0163"/>
    <w:rsid w:val="002D472B"/>
    <w:rsid w:val="002D7C26"/>
    <w:rsid w:val="002E0D33"/>
    <w:rsid w:val="002E671E"/>
    <w:rsid w:val="002F1A0E"/>
    <w:rsid w:val="002F5462"/>
    <w:rsid w:val="003028CA"/>
    <w:rsid w:val="00313899"/>
    <w:rsid w:val="00314933"/>
    <w:rsid w:val="003166DC"/>
    <w:rsid w:val="00321982"/>
    <w:rsid w:val="003253A0"/>
    <w:rsid w:val="00331A76"/>
    <w:rsid w:val="00332312"/>
    <w:rsid w:val="0033788A"/>
    <w:rsid w:val="003473BB"/>
    <w:rsid w:val="00347F66"/>
    <w:rsid w:val="00351B4E"/>
    <w:rsid w:val="00353FDC"/>
    <w:rsid w:val="00354707"/>
    <w:rsid w:val="00354F34"/>
    <w:rsid w:val="00356F5C"/>
    <w:rsid w:val="00360D5A"/>
    <w:rsid w:val="00362586"/>
    <w:rsid w:val="00363361"/>
    <w:rsid w:val="00365D05"/>
    <w:rsid w:val="003716E3"/>
    <w:rsid w:val="00372C7A"/>
    <w:rsid w:val="0037605D"/>
    <w:rsid w:val="00376A13"/>
    <w:rsid w:val="00382104"/>
    <w:rsid w:val="00394F1C"/>
    <w:rsid w:val="00396E7E"/>
    <w:rsid w:val="0039770B"/>
    <w:rsid w:val="003A635F"/>
    <w:rsid w:val="003A7667"/>
    <w:rsid w:val="003B2651"/>
    <w:rsid w:val="003B72CE"/>
    <w:rsid w:val="003B7F89"/>
    <w:rsid w:val="003C32B1"/>
    <w:rsid w:val="003C3C5F"/>
    <w:rsid w:val="003C44BE"/>
    <w:rsid w:val="003C6781"/>
    <w:rsid w:val="003C758F"/>
    <w:rsid w:val="003C7DC9"/>
    <w:rsid w:val="003D28BD"/>
    <w:rsid w:val="003D3B34"/>
    <w:rsid w:val="003D6E62"/>
    <w:rsid w:val="003E602C"/>
    <w:rsid w:val="003F15F1"/>
    <w:rsid w:val="003F2CA3"/>
    <w:rsid w:val="00402864"/>
    <w:rsid w:val="00405E76"/>
    <w:rsid w:val="0040794C"/>
    <w:rsid w:val="00410ADF"/>
    <w:rsid w:val="00415F01"/>
    <w:rsid w:val="00416CAA"/>
    <w:rsid w:val="00416D0F"/>
    <w:rsid w:val="00417D4B"/>
    <w:rsid w:val="00430AE6"/>
    <w:rsid w:val="00433FE9"/>
    <w:rsid w:val="004419AD"/>
    <w:rsid w:val="0044768E"/>
    <w:rsid w:val="004478E9"/>
    <w:rsid w:val="004541C5"/>
    <w:rsid w:val="00456584"/>
    <w:rsid w:val="00461233"/>
    <w:rsid w:val="00463D86"/>
    <w:rsid w:val="0046450D"/>
    <w:rsid w:val="00474516"/>
    <w:rsid w:val="0048082A"/>
    <w:rsid w:val="00481610"/>
    <w:rsid w:val="0048531D"/>
    <w:rsid w:val="004970AC"/>
    <w:rsid w:val="0049710F"/>
    <w:rsid w:val="004A0BD6"/>
    <w:rsid w:val="004A2D02"/>
    <w:rsid w:val="004A6AC6"/>
    <w:rsid w:val="004B1FE3"/>
    <w:rsid w:val="004B23AC"/>
    <w:rsid w:val="004B51F6"/>
    <w:rsid w:val="004B7D07"/>
    <w:rsid w:val="004C170B"/>
    <w:rsid w:val="004D39F8"/>
    <w:rsid w:val="004E0B60"/>
    <w:rsid w:val="004F0A27"/>
    <w:rsid w:val="004F2525"/>
    <w:rsid w:val="0050404B"/>
    <w:rsid w:val="00511B46"/>
    <w:rsid w:val="00536A6C"/>
    <w:rsid w:val="00540014"/>
    <w:rsid w:val="00540B64"/>
    <w:rsid w:val="00544873"/>
    <w:rsid w:val="00545A40"/>
    <w:rsid w:val="00546F86"/>
    <w:rsid w:val="00547224"/>
    <w:rsid w:val="0055637C"/>
    <w:rsid w:val="00556AED"/>
    <w:rsid w:val="00562C43"/>
    <w:rsid w:val="0056424F"/>
    <w:rsid w:val="0056539D"/>
    <w:rsid w:val="00567727"/>
    <w:rsid w:val="00572138"/>
    <w:rsid w:val="00576FB5"/>
    <w:rsid w:val="005824F2"/>
    <w:rsid w:val="00582D4C"/>
    <w:rsid w:val="00587957"/>
    <w:rsid w:val="00596FD8"/>
    <w:rsid w:val="005A3DFD"/>
    <w:rsid w:val="005A592F"/>
    <w:rsid w:val="005B24AE"/>
    <w:rsid w:val="005B4114"/>
    <w:rsid w:val="005C1460"/>
    <w:rsid w:val="005C23CB"/>
    <w:rsid w:val="005C43BA"/>
    <w:rsid w:val="005C5A13"/>
    <w:rsid w:val="005C7C01"/>
    <w:rsid w:val="005D7291"/>
    <w:rsid w:val="005E1577"/>
    <w:rsid w:val="005E1AF9"/>
    <w:rsid w:val="005E711B"/>
    <w:rsid w:val="005F0100"/>
    <w:rsid w:val="005F01B2"/>
    <w:rsid w:val="005F0AE7"/>
    <w:rsid w:val="005F1F91"/>
    <w:rsid w:val="005F2DB5"/>
    <w:rsid w:val="005F748B"/>
    <w:rsid w:val="00607DAA"/>
    <w:rsid w:val="00610C20"/>
    <w:rsid w:val="00617799"/>
    <w:rsid w:val="006239EB"/>
    <w:rsid w:val="00631410"/>
    <w:rsid w:val="006364B7"/>
    <w:rsid w:val="0063793D"/>
    <w:rsid w:val="00651385"/>
    <w:rsid w:val="00655BF8"/>
    <w:rsid w:val="00660D43"/>
    <w:rsid w:val="0066259E"/>
    <w:rsid w:val="00663B19"/>
    <w:rsid w:val="0066646A"/>
    <w:rsid w:val="00672E3C"/>
    <w:rsid w:val="00682582"/>
    <w:rsid w:val="00682E8D"/>
    <w:rsid w:val="00687536"/>
    <w:rsid w:val="00687D65"/>
    <w:rsid w:val="00692B1E"/>
    <w:rsid w:val="006A6FF8"/>
    <w:rsid w:val="006A7FA6"/>
    <w:rsid w:val="006B1E7C"/>
    <w:rsid w:val="006B2675"/>
    <w:rsid w:val="006B3B43"/>
    <w:rsid w:val="006B3DEB"/>
    <w:rsid w:val="006B6DC5"/>
    <w:rsid w:val="006C30B0"/>
    <w:rsid w:val="006C3EEE"/>
    <w:rsid w:val="006D1AEC"/>
    <w:rsid w:val="006D41E4"/>
    <w:rsid w:val="006E33B0"/>
    <w:rsid w:val="006E589E"/>
    <w:rsid w:val="006E6134"/>
    <w:rsid w:val="006E782E"/>
    <w:rsid w:val="006F1ABD"/>
    <w:rsid w:val="006F43EB"/>
    <w:rsid w:val="006F4B7E"/>
    <w:rsid w:val="006F73B4"/>
    <w:rsid w:val="00706AFD"/>
    <w:rsid w:val="00712772"/>
    <w:rsid w:val="0071357D"/>
    <w:rsid w:val="007160B6"/>
    <w:rsid w:val="00720407"/>
    <w:rsid w:val="00720514"/>
    <w:rsid w:val="007215D7"/>
    <w:rsid w:val="00722EF0"/>
    <w:rsid w:val="0072430B"/>
    <w:rsid w:val="00727114"/>
    <w:rsid w:val="007279F1"/>
    <w:rsid w:val="0073046B"/>
    <w:rsid w:val="00732F40"/>
    <w:rsid w:val="0073393D"/>
    <w:rsid w:val="0073460D"/>
    <w:rsid w:val="0073562A"/>
    <w:rsid w:val="00744412"/>
    <w:rsid w:val="00751994"/>
    <w:rsid w:val="00751A1E"/>
    <w:rsid w:val="00763326"/>
    <w:rsid w:val="00763F11"/>
    <w:rsid w:val="00772B5D"/>
    <w:rsid w:val="00772FE3"/>
    <w:rsid w:val="00773D5F"/>
    <w:rsid w:val="007750B5"/>
    <w:rsid w:val="00776857"/>
    <w:rsid w:val="00782666"/>
    <w:rsid w:val="007843DA"/>
    <w:rsid w:val="007844CA"/>
    <w:rsid w:val="00786F32"/>
    <w:rsid w:val="00792F4C"/>
    <w:rsid w:val="0079465A"/>
    <w:rsid w:val="0079488C"/>
    <w:rsid w:val="00795EEA"/>
    <w:rsid w:val="007A2C09"/>
    <w:rsid w:val="007A4463"/>
    <w:rsid w:val="007A7A7E"/>
    <w:rsid w:val="007B7010"/>
    <w:rsid w:val="007C0F49"/>
    <w:rsid w:val="007D26ED"/>
    <w:rsid w:val="007D3035"/>
    <w:rsid w:val="007D3D3B"/>
    <w:rsid w:val="007D61AE"/>
    <w:rsid w:val="007E06AF"/>
    <w:rsid w:val="007E4000"/>
    <w:rsid w:val="007E49CC"/>
    <w:rsid w:val="007F7BB2"/>
    <w:rsid w:val="00800884"/>
    <w:rsid w:val="008145EB"/>
    <w:rsid w:val="008224E0"/>
    <w:rsid w:val="00823423"/>
    <w:rsid w:val="008237FD"/>
    <w:rsid w:val="00825847"/>
    <w:rsid w:val="00825895"/>
    <w:rsid w:val="00826489"/>
    <w:rsid w:val="0083177A"/>
    <w:rsid w:val="00833719"/>
    <w:rsid w:val="00833F29"/>
    <w:rsid w:val="00836FBD"/>
    <w:rsid w:val="008407AB"/>
    <w:rsid w:val="008420A3"/>
    <w:rsid w:val="00842815"/>
    <w:rsid w:val="008442FD"/>
    <w:rsid w:val="00850220"/>
    <w:rsid w:val="008532E6"/>
    <w:rsid w:val="00855572"/>
    <w:rsid w:val="00862107"/>
    <w:rsid w:val="008652D8"/>
    <w:rsid w:val="00866E70"/>
    <w:rsid w:val="008679DB"/>
    <w:rsid w:val="00870003"/>
    <w:rsid w:val="00871B9B"/>
    <w:rsid w:val="00873CAA"/>
    <w:rsid w:val="00875372"/>
    <w:rsid w:val="00875600"/>
    <w:rsid w:val="00881DBE"/>
    <w:rsid w:val="0088649A"/>
    <w:rsid w:val="00896A49"/>
    <w:rsid w:val="008A2548"/>
    <w:rsid w:val="008A4E1C"/>
    <w:rsid w:val="008A5971"/>
    <w:rsid w:val="008B5A4A"/>
    <w:rsid w:val="008C252B"/>
    <w:rsid w:val="008C52EE"/>
    <w:rsid w:val="008D101F"/>
    <w:rsid w:val="008D3491"/>
    <w:rsid w:val="008D454E"/>
    <w:rsid w:val="008D4D98"/>
    <w:rsid w:val="008E6CD1"/>
    <w:rsid w:val="008F4EA5"/>
    <w:rsid w:val="009030CE"/>
    <w:rsid w:val="009112A3"/>
    <w:rsid w:val="00914391"/>
    <w:rsid w:val="0091700A"/>
    <w:rsid w:val="009175F5"/>
    <w:rsid w:val="009205D2"/>
    <w:rsid w:val="00922862"/>
    <w:rsid w:val="009240DC"/>
    <w:rsid w:val="00926FEE"/>
    <w:rsid w:val="009275ED"/>
    <w:rsid w:val="009320BF"/>
    <w:rsid w:val="00941ACE"/>
    <w:rsid w:val="00951574"/>
    <w:rsid w:val="00951C87"/>
    <w:rsid w:val="0095558E"/>
    <w:rsid w:val="00955C3C"/>
    <w:rsid w:val="00957C25"/>
    <w:rsid w:val="00962DE8"/>
    <w:rsid w:val="00963581"/>
    <w:rsid w:val="00967DFD"/>
    <w:rsid w:val="009714A7"/>
    <w:rsid w:val="00974ECE"/>
    <w:rsid w:val="00975AC1"/>
    <w:rsid w:val="00983B31"/>
    <w:rsid w:val="00986D30"/>
    <w:rsid w:val="009912EC"/>
    <w:rsid w:val="009919DC"/>
    <w:rsid w:val="00994DB1"/>
    <w:rsid w:val="00995649"/>
    <w:rsid w:val="009A0488"/>
    <w:rsid w:val="009A4439"/>
    <w:rsid w:val="009B371F"/>
    <w:rsid w:val="009B3CB7"/>
    <w:rsid w:val="009B46E9"/>
    <w:rsid w:val="009B6DBE"/>
    <w:rsid w:val="009C0381"/>
    <w:rsid w:val="009C3490"/>
    <w:rsid w:val="009C38D8"/>
    <w:rsid w:val="009C5DE4"/>
    <w:rsid w:val="009C6D94"/>
    <w:rsid w:val="009D6852"/>
    <w:rsid w:val="009E054C"/>
    <w:rsid w:val="009E0C5A"/>
    <w:rsid w:val="009E187F"/>
    <w:rsid w:val="009E45EC"/>
    <w:rsid w:val="009E4744"/>
    <w:rsid w:val="009E731C"/>
    <w:rsid w:val="009E775B"/>
    <w:rsid w:val="009F2290"/>
    <w:rsid w:val="009F4072"/>
    <w:rsid w:val="009F5BF7"/>
    <w:rsid w:val="00A006D5"/>
    <w:rsid w:val="00A02630"/>
    <w:rsid w:val="00A04CBA"/>
    <w:rsid w:val="00A0696A"/>
    <w:rsid w:val="00A100D7"/>
    <w:rsid w:val="00A11B9C"/>
    <w:rsid w:val="00A14678"/>
    <w:rsid w:val="00A14FC1"/>
    <w:rsid w:val="00A16043"/>
    <w:rsid w:val="00A22BF5"/>
    <w:rsid w:val="00A2490D"/>
    <w:rsid w:val="00A255AE"/>
    <w:rsid w:val="00A30FD2"/>
    <w:rsid w:val="00A32BC9"/>
    <w:rsid w:val="00A35176"/>
    <w:rsid w:val="00A42060"/>
    <w:rsid w:val="00A42097"/>
    <w:rsid w:val="00A4289D"/>
    <w:rsid w:val="00A4516F"/>
    <w:rsid w:val="00A51AD9"/>
    <w:rsid w:val="00A526A7"/>
    <w:rsid w:val="00A61ABD"/>
    <w:rsid w:val="00A63271"/>
    <w:rsid w:val="00A73B91"/>
    <w:rsid w:val="00A73ECF"/>
    <w:rsid w:val="00A8002D"/>
    <w:rsid w:val="00A818F1"/>
    <w:rsid w:val="00A82064"/>
    <w:rsid w:val="00A83677"/>
    <w:rsid w:val="00A84BAD"/>
    <w:rsid w:val="00A85A15"/>
    <w:rsid w:val="00A87B46"/>
    <w:rsid w:val="00A9403E"/>
    <w:rsid w:val="00A946ED"/>
    <w:rsid w:val="00A94A8D"/>
    <w:rsid w:val="00A972A4"/>
    <w:rsid w:val="00AA17CD"/>
    <w:rsid w:val="00AA51D2"/>
    <w:rsid w:val="00AA51EE"/>
    <w:rsid w:val="00AA667D"/>
    <w:rsid w:val="00AB1CC1"/>
    <w:rsid w:val="00AB5768"/>
    <w:rsid w:val="00AB74CC"/>
    <w:rsid w:val="00AB765C"/>
    <w:rsid w:val="00AC019B"/>
    <w:rsid w:val="00AC650D"/>
    <w:rsid w:val="00AD0997"/>
    <w:rsid w:val="00AD5EB9"/>
    <w:rsid w:val="00AD6C04"/>
    <w:rsid w:val="00AD7195"/>
    <w:rsid w:val="00AD7EE7"/>
    <w:rsid w:val="00AE2209"/>
    <w:rsid w:val="00AE282F"/>
    <w:rsid w:val="00AE7CFF"/>
    <w:rsid w:val="00AF65CF"/>
    <w:rsid w:val="00B010AD"/>
    <w:rsid w:val="00B01EC5"/>
    <w:rsid w:val="00B142C2"/>
    <w:rsid w:val="00B17A53"/>
    <w:rsid w:val="00B21756"/>
    <w:rsid w:val="00B21B31"/>
    <w:rsid w:val="00B24CA0"/>
    <w:rsid w:val="00B3398A"/>
    <w:rsid w:val="00B36B1D"/>
    <w:rsid w:val="00B45422"/>
    <w:rsid w:val="00B525F6"/>
    <w:rsid w:val="00B53129"/>
    <w:rsid w:val="00B57E58"/>
    <w:rsid w:val="00B61E4B"/>
    <w:rsid w:val="00B6377F"/>
    <w:rsid w:val="00B65159"/>
    <w:rsid w:val="00B66ADA"/>
    <w:rsid w:val="00B70CBD"/>
    <w:rsid w:val="00B729CD"/>
    <w:rsid w:val="00B7306E"/>
    <w:rsid w:val="00B73B99"/>
    <w:rsid w:val="00B73FCA"/>
    <w:rsid w:val="00B741EA"/>
    <w:rsid w:val="00B80050"/>
    <w:rsid w:val="00B81531"/>
    <w:rsid w:val="00B83BA3"/>
    <w:rsid w:val="00B86817"/>
    <w:rsid w:val="00B86C9D"/>
    <w:rsid w:val="00B87766"/>
    <w:rsid w:val="00B93173"/>
    <w:rsid w:val="00B974D0"/>
    <w:rsid w:val="00B97740"/>
    <w:rsid w:val="00B979CA"/>
    <w:rsid w:val="00BA0585"/>
    <w:rsid w:val="00BA0EA2"/>
    <w:rsid w:val="00BA5B27"/>
    <w:rsid w:val="00BA6747"/>
    <w:rsid w:val="00BA6B41"/>
    <w:rsid w:val="00BB0914"/>
    <w:rsid w:val="00BB1A23"/>
    <w:rsid w:val="00BB1BB0"/>
    <w:rsid w:val="00BB493F"/>
    <w:rsid w:val="00BC0DC9"/>
    <w:rsid w:val="00BC2C8A"/>
    <w:rsid w:val="00BC6A02"/>
    <w:rsid w:val="00BC7651"/>
    <w:rsid w:val="00BC783A"/>
    <w:rsid w:val="00BD3AFF"/>
    <w:rsid w:val="00BD767A"/>
    <w:rsid w:val="00BE37FD"/>
    <w:rsid w:val="00BE52D8"/>
    <w:rsid w:val="00BF0E1A"/>
    <w:rsid w:val="00BF4133"/>
    <w:rsid w:val="00C0048A"/>
    <w:rsid w:val="00C06AC4"/>
    <w:rsid w:val="00C0741B"/>
    <w:rsid w:val="00C10B4B"/>
    <w:rsid w:val="00C120C0"/>
    <w:rsid w:val="00C12100"/>
    <w:rsid w:val="00C128A5"/>
    <w:rsid w:val="00C172C2"/>
    <w:rsid w:val="00C20D19"/>
    <w:rsid w:val="00C21694"/>
    <w:rsid w:val="00C223E7"/>
    <w:rsid w:val="00C23202"/>
    <w:rsid w:val="00C2358A"/>
    <w:rsid w:val="00C23FC9"/>
    <w:rsid w:val="00C2453F"/>
    <w:rsid w:val="00C268FC"/>
    <w:rsid w:val="00C31314"/>
    <w:rsid w:val="00C321D3"/>
    <w:rsid w:val="00C32ADE"/>
    <w:rsid w:val="00C350FB"/>
    <w:rsid w:val="00C37543"/>
    <w:rsid w:val="00C40458"/>
    <w:rsid w:val="00C40B92"/>
    <w:rsid w:val="00C42773"/>
    <w:rsid w:val="00C45671"/>
    <w:rsid w:val="00C45B19"/>
    <w:rsid w:val="00C45DCD"/>
    <w:rsid w:val="00C56245"/>
    <w:rsid w:val="00C56B3B"/>
    <w:rsid w:val="00C56DBB"/>
    <w:rsid w:val="00C572A5"/>
    <w:rsid w:val="00C85C11"/>
    <w:rsid w:val="00C8748C"/>
    <w:rsid w:val="00C94E2A"/>
    <w:rsid w:val="00C953BD"/>
    <w:rsid w:val="00CA68C1"/>
    <w:rsid w:val="00CB0927"/>
    <w:rsid w:val="00CB2362"/>
    <w:rsid w:val="00CB3F30"/>
    <w:rsid w:val="00CB4714"/>
    <w:rsid w:val="00CB6B37"/>
    <w:rsid w:val="00CB7404"/>
    <w:rsid w:val="00CC2371"/>
    <w:rsid w:val="00CC5395"/>
    <w:rsid w:val="00CD0406"/>
    <w:rsid w:val="00CD658B"/>
    <w:rsid w:val="00CE1A9F"/>
    <w:rsid w:val="00CE1FD8"/>
    <w:rsid w:val="00CE464E"/>
    <w:rsid w:val="00CE5016"/>
    <w:rsid w:val="00CF2765"/>
    <w:rsid w:val="00D00E52"/>
    <w:rsid w:val="00D03CFF"/>
    <w:rsid w:val="00D07123"/>
    <w:rsid w:val="00D10344"/>
    <w:rsid w:val="00D11E77"/>
    <w:rsid w:val="00D15803"/>
    <w:rsid w:val="00D210FA"/>
    <w:rsid w:val="00D22A17"/>
    <w:rsid w:val="00D23C6D"/>
    <w:rsid w:val="00D265AB"/>
    <w:rsid w:val="00D33942"/>
    <w:rsid w:val="00D34F78"/>
    <w:rsid w:val="00D35D42"/>
    <w:rsid w:val="00D372E5"/>
    <w:rsid w:val="00D3763B"/>
    <w:rsid w:val="00D414ED"/>
    <w:rsid w:val="00D4239E"/>
    <w:rsid w:val="00D42ED0"/>
    <w:rsid w:val="00D42F4A"/>
    <w:rsid w:val="00D440E5"/>
    <w:rsid w:val="00D44440"/>
    <w:rsid w:val="00D44FD7"/>
    <w:rsid w:val="00D452F2"/>
    <w:rsid w:val="00D545E1"/>
    <w:rsid w:val="00D61747"/>
    <w:rsid w:val="00D65037"/>
    <w:rsid w:val="00D700DF"/>
    <w:rsid w:val="00D71A4C"/>
    <w:rsid w:val="00D73012"/>
    <w:rsid w:val="00D73796"/>
    <w:rsid w:val="00D73FE3"/>
    <w:rsid w:val="00D81955"/>
    <w:rsid w:val="00D86B7D"/>
    <w:rsid w:val="00D90EF9"/>
    <w:rsid w:val="00D9144A"/>
    <w:rsid w:val="00D923D9"/>
    <w:rsid w:val="00D925CE"/>
    <w:rsid w:val="00D9364A"/>
    <w:rsid w:val="00D94D81"/>
    <w:rsid w:val="00D97A0A"/>
    <w:rsid w:val="00D97FBC"/>
    <w:rsid w:val="00DA3560"/>
    <w:rsid w:val="00DA7717"/>
    <w:rsid w:val="00DB5420"/>
    <w:rsid w:val="00DC32D3"/>
    <w:rsid w:val="00DC4AA5"/>
    <w:rsid w:val="00DC656C"/>
    <w:rsid w:val="00DD04D9"/>
    <w:rsid w:val="00DE087C"/>
    <w:rsid w:val="00DE0F6C"/>
    <w:rsid w:val="00DE5588"/>
    <w:rsid w:val="00DE5C6B"/>
    <w:rsid w:val="00DE5C97"/>
    <w:rsid w:val="00DE693B"/>
    <w:rsid w:val="00DF017C"/>
    <w:rsid w:val="00DF152A"/>
    <w:rsid w:val="00DF24C5"/>
    <w:rsid w:val="00DF26F6"/>
    <w:rsid w:val="00E03110"/>
    <w:rsid w:val="00E03B87"/>
    <w:rsid w:val="00E04078"/>
    <w:rsid w:val="00E11687"/>
    <w:rsid w:val="00E12740"/>
    <w:rsid w:val="00E12850"/>
    <w:rsid w:val="00E17170"/>
    <w:rsid w:val="00E17CB2"/>
    <w:rsid w:val="00E2097A"/>
    <w:rsid w:val="00E24B97"/>
    <w:rsid w:val="00E33B86"/>
    <w:rsid w:val="00E43903"/>
    <w:rsid w:val="00E51F3E"/>
    <w:rsid w:val="00E54ED4"/>
    <w:rsid w:val="00E660A9"/>
    <w:rsid w:val="00E670EC"/>
    <w:rsid w:val="00E74071"/>
    <w:rsid w:val="00E76026"/>
    <w:rsid w:val="00E82695"/>
    <w:rsid w:val="00EA0B58"/>
    <w:rsid w:val="00EA108A"/>
    <w:rsid w:val="00EA30C4"/>
    <w:rsid w:val="00EB1B85"/>
    <w:rsid w:val="00EB2260"/>
    <w:rsid w:val="00EB3DB8"/>
    <w:rsid w:val="00EB724B"/>
    <w:rsid w:val="00EC2504"/>
    <w:rsid w:val="00EC47BA"/>
    <w:rsid w:val="00EC50DF"/>
    <w:rsid w:val="00EC75A9"/>
    <w:rsid w:val="00ED63EA"/>
    <w:rsid w:val="00ED743B"/>
    <w:rsid w:val="00EE046D"/>
    <w:rsid w:val="00EE1624"/>
    <w:rsid w:val="00EE1FB6"/>
    <w:rsid w:val="00EE2D20"/>
    <w:rsid w:val="00EE33DA"/>
    <w:rsid w:val="00EE6E6C"/>
    <w:rsid w:val="00EF087F"/>
    <w:rsid w:val="00EF1B9D"/>
    <w:rsid w:val="00EF4B8A"/>
    <w:rsid w:val="00F03FCF"/>
    <w:rsid w:val="00F04015"/>
    <w:rsid w:val="00F04DB5"/>
    <w:rsid w:val="00F13785"/>
    <w:rsid w:val="00F24F9B"/>
    <w:rsid w:val="00F2603E"/>
    <w:rsid w:val="00F268CF"/>
    <w:rsid w:val="00F27C65"/>
    <w:rsid w:val="00F300E2"/>
    <w:rsid w:val="00F32A63"/>
    <w:rsid w:val="00F32EEA"/>
    <w:rsid w:val="00F33226"/>
    <w:rsid w:val="00F33574"/>
    <w:rsid w:val="00F36450"/>
    <w:rsid w:val="00F4096A"/>
    <w:rsid w:val="00F42263"/>
    <w:rsid w:val="00F45766"/>
    <w:rsid w:val="00F463AF"/>
    <w:rsid w:val="00F612ED"/>
    <w:rsid w:val="00F612FB"/>
    <w:rsid w:val="00F6213E"/>
    <w:rsid w:val="00F62318"/>
    <w:rsid w:val="00F73C8B"/>
    <w:rsid w:val="00F851BC"/>
    <w:rsid w:val="00F966C7"/>
    <w:rsid w:val="00FA1931"/>
    <w:rsid w:val="00FA301A"/>
    <w:rsid w:val="00FA4E53"/>
    <w:rsid w:val="00FB12CA"/>
    <w:rsid w:val="00FB20AD"/>
    <w:rsid w:val="00FB53CA"/>
    <w:rsid w:val="00FB5F5B"/>
    <w:rsid w:val="00FB7313"/>
    <w:rsid w:val="00FC12AA"/>
    <w:rsid w:val="00FC3A1A"/>
    <w:rsid w:val="00FD1EB1"/>
    <w:rsid w:val="00FD694E"/>
    <w:rsid w:val="00FD703B"/>
    <w:rsid w:val="00FD70D1"/>
    <w:rsid w:val="00FE313D"/>
    <w:rsid w:val="00FE5CB2"/>
    <w:rsid w:val="00FE678A"/>
    <w:rsid w:val="00FF3CCE"/>
    <w:rsid w:val="00FF4E00"/>
    <w:rsid w:val="00FF6735"/>
    <w:rsid w:val="00FF7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916AF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1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1982"/>
    <w:pPr>
      <w:ind w:left="720"/>
      <w:contextualSpacing/>
    </w:pPr>
  </w:style>
  <w:style w:type="paragraph" w:styleId="BalloonText">
    <w:name w:val="Balloon Text"/>
    <w:basedOn w:val="Normal"/>
    <w:link w:val="BalloonTextChar"/>
    <w:uiPriority w:val="99"/>
    <w:semiHidden/>
    <w:unhideWhenUsed/>
    <w:rsid w:val="006E33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33B0"/>
    <w:rPr>
      <w:rFonts w:ascii="Lucida Grande" w:hAnsi="Lucida Grande" w:cs="Lucida Grande"/>
      <w:sz w:val="18"/>
      <w:szCs w:val="18"/>
    </w:rPr>
  </w:style>
  <w:style w:type="paragraph" w:customStyle="1" w:styleId="Default">
    <w:name w:val="Default"/>
    <w:rsid w:val="00AA667D"/>
    <w:pPr>
      <w:autoSpaceDE w:val="0"/>
      <w:autoSpaceDN w:val="0"/>
      <w:adjustRightInd w:val="0"/>
    </w:pPr>
    <w:rPr>
      <w:rFonts w:ascii="Times New Roman" w:eastAsiaTheme="minorHAnsi" w:hAnsi="Times New Roman" w:cs="Times New Roman"/>
      <w:color w:val="000000"/>
    </w:rPr>
  </w:style>
  <w:style w:type="paragraph" w:styleId="NormalWeb">
    <w:name w:val="Normal (Web)"/>
    <w:basedOn w:val="Normal"/>
    <w:uiPriority w:val="99"/>
    <w:unhideWhenUsed/>
    <w:rsid w:val="001B3050"/>
    <w:rPr>
      <w:rFonts w:ascii="Times New Roman" w:eastAsiaTheme="minorHAnsi" w:hAnsi="Times New Roman" w:cs="Times New Roman"/>
    </w:rPr>
  </w:style>
  <w:style w:type="character" w:styleId="Emphasis">
    <w:name w:val="Emphasis"/>
    <w:basedOn w:val="DefaultParagraphFont"/>
    <w:uiPriority w:val="20"/>
    <w:qFormat/>
    <w:rsid w:val="001B3050"/>
    <w:rPr>
      <w:i/>
      <w:iCs/>
    </w:rPr>
  </w:style>
  <w:style w:type="paragraph" w:styleId="Header">
    <w:name w:val="header"/>
    <w:basedOn w:val="Normal"/>
    <w:link w:val="HeaderChar"/>
    <w:uiPriority w:val="99"/>
    <w:unhideWhenUsed/>
    <w:rsid w:val="007160B6"/>
    <w:pPr>
      <w:tabs>
        <w:tab w:val="center" w:pos="4680"/>
        <w:tab w:val="right" w:pos="9360"/>
      </w:tabs>
    </w:pPr>
  </w:style>
  <w:style w:type="character" w:customStyle="1" w:styleId="HeaderChar">
    <w:name w:val="Header Char"/>
    <w:basedOn w:val="DefaultParagraphFont"/>
    <w:link w:val="Header"/>
    <w:uiPriority w:val="99"/>
    <w:rsid w:val="007160B6"/>
  </w:style>
  <w:style w:type="paragraph" w:styleId="Footer">
    <w:name w:val="footer"/>
    <w:basedOn w:val="Normal"/>
    <w:link w:val="FooterChar"/>
    <w:uiPriority w:val="99"/>
    <w:unhideWhenUsed/>
    <w:rsid w:val="007160B6"/>
    <w:pPr>
      <w:tabs>
        <w:tab w:val="center" w:pos="4680"/>
        <w:tab w:val="right" w:pos="9360"/>
      </w:tabs>
    </w:pPr>
  </w:style>
  <w:style w:type="character" w:customStyle="1" w:styleId="FooterChar">
    <w:name w:val="Footer Char"/>
    <w:basedOn w:val="DefaultParagraphFont"/>
    <w:link w:val="Footer"/>
    <w:uiPriority w:val="99"/>
    <w:rsid w:val="007160B6"/>
  </w:style>
  <w:style w:type="character" w:styleId="CommentReference">
    <w:name w:val="annotation reference"/>
    <w:basedOn w:val="DefaultParagraphFont"/>
    <w:uiPriority w:val="99"/>
    <w:semiHidden/>
    <w:unhideWhenUsed/>
    <w:rsid w:val="00416D0F"/>
    <w:rPr>
      <w:sz w:val="16"/>
      <w:szCs w:val="16"/>
    </w:rPr>
  </w:style>
  <w:style w:type="paragraph" w:styleId="CommentText">
    <w:name w:val="annotation text"/>
    <w:basedOn w:val="Normal"/>
    <w:link w:val="CommentTextChar"/>
    <w:uiPriority w:val="99"/>
    <w:semiHidden/>
    <w:unhideWhenUsed/>
    <w:rsid w:val="00416D0F"/>
    <w:rPr>
      <w:sz w:val="20"/>
      <w:szCs w:val="20"/>
    </w:rPr>
  </w:style>
  <w:style w:type="character" w:customStyle="1" w:styleId="CommentTextChar">
    <w:name w:val="Comment Text Char"/>
    <w:basedOn w:val="DefaultParagraphFont"/>
    <w:link w:val="CommentText"/>
    <w:uiPriority w:val="99"/>
    <w:semiHidden/>
    <w:rsid w:val="00416D0F"/>
    <w:rPr>
      <w:sz w:val="20"/>
      <w:szCs w:val="20"/>
    </w:rPr>
  </w:style>
  <w:style w:type="paragraph" w:styleId="CommentSubject">
    <w:name w:val="annotation subject"/>
    <w:basedOn w:val="CommentText"/>
    <w:next w:val="CommentText"/>
    <w:link w:val="CommentSubjectChar"/>
    <w:uiPriority w:val="99"/>
    <w:semiHidden/>
    <w:unhideWhenUsed/>
    <w:rsid w:val="00416D0F"/>
    <w:rPr>
      <w:b/>
      <w:bCs/>
    </w:rPr>
  </w:style>
  <w:style w:type="character" w:customStyle="1" w:styleId="CommentSubjectChar">
    <w:name w:val="Comment Subject Char"/>
    <w:basedOn w:val="CommentTextChar"/>
    <w:link w:val="CommentSubject"/>
    <w:uiPriority w:val="99"/>
    <w:semiHidden/>
    <w:rsid w:val="00416D0F"/>
    <w:rPr>
      <w:b/>
      <w:bCs/>
      <w:sz w:val="20"/>
      <w:szCs w:val="20"/>
    </w:rPr>
  </w:style>
  <w:style w:type="table" w:customStyle="1" w:styleId="TableGrid1">
    <w:name w:val="Table Grid1"/>
    <w:basedOn w:val="TableNormal"/>
    <w:next w:val="TableGrid"/>
    <w:uiPriority w:val="59"/>
    <w:rsid w:val="00706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7F66"/>
    <w:rPr>
      <w:color w:val="0000FF" w:themeColor="hyperlink"/>
      <w:u w:val="single"/>
    </w:rPr>
  </w:style>
  <w:style w:type="character" w:styleId="PageNumber">
    <w:name w:val="page number"/>
    <w:basedOn w:val="DefaultParagraphFont"/>
    <w:uiPriority w:val="99"/>
    <w:semiHidden/>
    <w:unhideWhenUsed/>
    <w:rsid w:val="00175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99306">
      <w:bodyDiv w:val="1"/>
      <w:marLeft w:val="0"/>
      <w:marRight w:val="0"/>
      <w:marTop w:val="0"/>
      <w:marBottom w:val="0"/>
      <w:divBdr>
        <w:top w:val="none" w:sz="0" w:space="0" w:color="auto"/>
        <w:left w:val="none" w:sz="0" w:space="0" w:color="auto"/>
        <w:bottom w:val="none" w:sz="0" w:space="0" w:color="auto"/>
        <w:right w:val="none" w:sz="0" w:space="0" w:color="auto"/>
      </w:divBdr>
    </w:div>
    <w:div w:id="6802795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rollings@atlm.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hirley@atlm.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avi@atlm.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duhart@atlm.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Degrees/Credentials Conferred By Fiscal Year</a:t>
            </a:r>
          </a:p>
          <a:p>
            <a:pPr>
              <a:defRPr/>
            </a:pPr>
            <a:r>
              <a:rPr lang="en-US" sz="1200">
                <a:latin typeface="Times New Roman" panose="02020603050405020304" pitchFamily="18" charset="0"/>
                <a:cs typeface="Times New Roman" panose="02020603050405020304" pitchFamily="18" charset="0"/>
              </a:rPr>
              <a:t>*2025 Target</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5"/>
          <c:order val="0"/>
          <c:tx>
            <c:v>Degrees/Credentials</c:v>
          </c:tx>
          <c:spPr>
            <a:solidFill>
              <a:schemeClr val="accent6"/>
            </a:solidFill>
            <a:ln>
              <a:noFill/>
            </a:ln>
            <a:effectLst/>
          </c:spPr>
          <c:invertIfNegative val="0"/>
          <c:dLbls>
            <c:dLbl>
              <c:idx val="7"/>
              <c:layout/>
              <c:tx>
                <c:rich>
                  <a:bodyPr/>
                  <a:lstStyle/>
                  <a:p>
                    <a:fld id="{F7D5BB18-89A7-4FCC-A5BC-B9456EC0B2C7}" type="VALUE">
                      <a:rPr lang="en-US"/>
                      <a:pPr/>
                      <a:t>[VALUE]</a:t>
                    </a:fld>
                    <a:r>
                      <a:rPr lang="en-US" sz="1100">
                        <a:latin typeface="Times New Roman" panose="02020603050405020304" pitchFamily="18" charset="0"/>
                        <a:cs typeface="Times New Roman" panose="02020603050405020304" pitchFamily="18" charset="0"/>
                      </a:rPr>
                      <a:t>*</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7E5-4883-80E1-7CBDB7357A4E}"/>
                </c:ex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Sheet1!$A$1:$A$8</c:f>
              <c:numCache>
                <c:formatCode>General</c:formatCode>
                <c:ptCount val="8"/>
                <c:pt idx="0">
                  <c:v>2011</c:v>
                </c:pt>
                <c:pt idx="1">
                  <c:v>2012</c:v>
                </c:pt>
                <c:pt idx="2">
                  <c:v>2013</c:v>
                </c:pt>
                <c:pt idx="3">
                  <c:v>2014</c:v>
                </c:pt>
                <c:pt idx="4">
                  <c:v>2015</c:v>
                </c:pt>
                <c:pt idx="5">
                  <c:v>2016</c:v>
                </c:pt>
                <c:pt idx="6">
                  <c:v>2017</c:v>
                </c:pt>
                <c:pt idx="7">
                  <c:v>2025</c:v>
                </c:pt>
              </c:numCache>
            </c:numRef>
          </c:cat>
          <c:val>
            <c:numRef>
              <c:f>Sheet1!$B$1:$B$8</c:f>
              <c:numCache>
                <c:formatCode>General</c:formatCode>
                <c:ptCount val="8"/>
                <c:pt idx="0">
                  <c:v>276</c:v>
                </c:pt>
                <c:pt idx="1">
                  <c:v>350</c:v>
                </c:pt>
                <c:pt idx="2">
                  <c:v>347</c:v>
                </c:pt>
                <c:pt idx="3">
                  <c:v>308</c:v>
                </c:pt>
                <c:pt idx="4">
                  <c:v>391</c:v>
                </c:pt>
                <c:pt idx="5">
                  <c:v>386</c:v>
                </c:pt>
                <c:pt idx="6">
                  <c:v>353</c:v>
                </c:pt>
                <c:pt idx="7">
                  <c:v>600</c:v>
                </c:pt>
              </c:numCache>
            </c:numRef>
          </c:val>
          <c:extLst xmlns:c16r2="http://schemas.microsoft.com/office/drawing/2015/06/chart">
            <c:ext xmlns:c16="http://schemas.microsoft.com/office/drawing/2014/chart" uri="{C3380CC4-5D6E-409C-BE32-E72D297353CC}">
              <c16:uniqueId val="{00000001-87E5-4883-80E1-7CBDB7357A4E}"/>
            </c:ext>
          </c:extLst>
        </c:ser>
        <c:dLbls>
          <c:showLegendKey val="0"/>
          <c:showVal val="0"/>
          <c:showCatName val="0"/>
          <c:showSerName val="0"/>
          <c:showPercent val="0"/>
          <c:showBubbleSize val="0"/>
        </c:dLbls>
        <c:gapWidth val="182"/>
        <c:axId val="312317192"/>
        <c:axId val="312319544"/>
      </c:barChart>
      <c:catAx>
        <c:axId val="31231719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Fiscal Year</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2319544"/>
        <c:crosses val="autoZero"/>
        <c:auto val="1"/>
        <c:lblAlgn val="ctr"/>
        <c:lblOffset val="100"/>
        <c:noMultiLvlLbl val="0"/>
      </c:catAx>
      <c:valAx>
        <c:axId val="31231954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2317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CDCD8-C45B-4E7C-B80A-93342BC48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4689</Words>
  <Characters>26732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dc:creator>
  <cp:lastModifiedBy>Mark Cunningham</cp:lastModifiedBy>
  <cp:revision>2</cp:revision>
  <cp:lastPrinted>2014-08-01T20:50:00Z</cp:lastPrinted>
  <dcterms:created xsi:type="dcterms:W3CDTF">2017-08-31T12:21:00Z</dcterms:created>
  <dcterms:modified xsi:type="dcterms:W3CDTF">2017-08-31T12:21:00Z</dcterms:modified>
</cp:coreProperties>
</file>